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226D187A"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4E5418">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0F9391DD" w:rsidR="00566B27" w:rsidRPr="00385677" w:rsidRDefault="00566B27" w:rsidP="004E5418">
            <w:pPr>
              <w:rPr>
                <w:b/>
                <w:bCs/>
                <w:color w:val="3B3B98"/>
              </w:rPr>
            </w:pP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tcPr>
          <w:p w14:paraId="23530B40" w14:textId="1A517091" w:rsidR="00566B27" w:rsidRPr="00385677" w:rsidRDefault="006E7882" w:rsidP="00D42F33">
            <w:pPr>
              <w:rPr>
                <w:b/>
                <w:bCs/>
                <w:color w:val="404040" w:themeColor="text1" w:themeTint="BF"/>
              </w:rPr>
            </w:pPr>
            <w:r>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385677"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0B481087" w:rsidR="001A07C0" w:rsidRPr="00385677" w:rsidRDefault="00F40BF7" w:rsidP="00D42F33">
            <w:pPr>
              <w:rPr>
                <w:color w:val="404040" w:themeColor="text1" w:themeTint="BF"/>
              </w:rPr>
            </w:pPr>
            <w:r w:rsidRPr="00F40BF7">
              <w:rPr>
                <w:color w:val="404040" w:themeColor="text1" w:themeTint="BF"/>
              </w:rPr>
              <w:t>XP Allocation Asset Management Ltda.</w:t>
            </w:r>
          </w:p>
        </w:tc>
      </w:tr>
      <w:tr w:rsidR="00385677" w:rsidRPr="00385677"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757E1238" w:rsidR="001A07C0" w:rsidRPr="00385677" w:rsidRDefault="001A1310" w:rsidP="00D42F33">
            <w:pPr>
              <w:rPr>
                <w:color w:val="404040" w:themeColor="text1" w:themeTint="BF"/>
              </w:rPr>
            </w:pPr>
            <w:r w:rsidRPr="001A1310">
              <w:rPr>
                <w:color w:val="404040" w:themeColor="text1" w:themeTint="BF"/>
              </w:rPr>
              <w:t>37.918.829/0001-88</w:t>
            </w:r>
          </w:p>
        </w:tc>
      </w:tr>
      <w:tr w:rsidR="00385677" w:rsidRPr="00385677"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064733C0" w:rsidR="001A07C0" w:rsidRPr="00385677" w:rsidRDefault="006E7882" w:rsidP="00D42F33">
            <w:pPr>
              <w:rPr>
                <w:color w:val="404040" w:themeColor="text1" w:themeTint="BF"/>
              </w:rPr>
            </w:pPr>
            <w:r w:rsidRPr="006E7882">
              <w:rPr>
                <w:color w:val="404040" w:themeColor="text1" w:themeTint="BF"/>
              </w:rPr>
              <w:t>30/07/2020</w:t>
            </w:r>
          </w:p>
        </w:tc>
      </w:tr>
      <w:tr w:rsidR="00385677" w:rsidRPr="00385677"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2A3724B6" w14:textId="77777777" w:rsidR="00F40BF7" w:rsidRPr="00F40BF7" w:rsidRDefault="00F40BF7" w:rsidP="00F40BF7">
            <w:pPr>
              <w:rPr>
                <w:color w:val="404040" w:themeColor="text1" w:themeTint="BF"/>
              </w:rPr>
            </w:pPr>
            <w:r w:rsidRPr="00F40BF7">
              <w:rPr>
                <w:color w:val="404040" w:themeColor="text1" w:themeTint="BF"/>
              </w:rPr>
              <w:t xml:space="preserve">Av. Presidente Juscelino Kubitschek, n° 1909, CEP: 04.543-907, Vila Nova Conceição, Torre Sul, </w:t>
            </w:r>
          </w:p>
          <w:p w14:paraId="74175F11" w14:textId="208823B3" w:rsidR="001A07C0" w:rsidRPr="00385677" w:rsidRDefault="00F40BF7" w:rsidP="00F40BF7">
            <w:pPr>
              <w:rPr>
                <w:color w:val="404040" w:themeColor="text1" w:themeTint="BF"/>
              </w:rPr>
            </w:pPr>
            <w:r w:rsidRPr="00F40BF7">
              <w:rPr>
                <w:color w:val="404040" w:themeColor="text1" w:themeTint="BF"/>
              </w:rPr>
              <w:t>30° Andar – São Paulo, SP.</w:t>
            </w:r>
          </w:p>
        </w:tc>
      </w:tr>
      <w:tr w:rsidR="00385677" w:rsidRPr="00385677"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3DDEF9D5" w:rsidR="001A07C0" w:rsidRPr="00385677" w:rsidRDefault="00794F74" w:rsidP="00D42F33">
            <w:pPr>
              <w:rPr>
                <w:color w:val="404040" w:themeColor="text1" w:themeTint="BF"/>
              </w:rPr>
            </w:pPr>
            <w:r w:rsidRPr="00794F74">
              <w:rPr>
                <w:color w:val="404040" w:themeColor="text1" w:themeTint="BF"/>
              </w:rPr>
              <w:t>11 4871-4358</w:t>
            </w:r>
          </w:p>
        </w:tc>
      </w:tr>
      <w:tr w:rsidR="001A07C0" w:rsidRPr="00385677" w14:paraId="26686FC3" w14:textId="77777777" w:rsidTr="00765243">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4155A1DA" w:rsidR="001A07C0" w:rsidRPr="00385677" w:rsidRDefault="00794F74" w:rsidP="00D42F33">
            <w:pPr>
              <w:rPr>
                <w:color w:val="404040" w:themeColor="text1" w:themeTint="BF"/>
              </w:rPr>
            </w:pPr>
            <w:r w:rsidRPr="00794F74">
              <w:rPr>
                <w:color w:val="404040" w:themeColor="text1" w:themeTint="BF"/>
              </w:rPr>
              <w:t>controles@xpasset.com.br</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2350"/>
        <w:gridCol w:w="1470"/>
        <w:gridCol w:w="2930"/>
        <w:gridCol w:w="1744"/>
      </w:tblGrid>
      <w:tr w:rsidR="00385677" w:rsidRPr="00385677" w14:paraId="73195F68" w14:textId="77777777" w:rsidTr="00376E7A">
        <w:tc>
          <w:tcPr>
            <w:tcW w:w="2350" w:type="dxa"/>
          </w:tcPr>
          <w:p w14:paraId="63FD4AC8" w14:textId="70E3D8B2" w:rsidR="002B4DAC" w:rsidRPr="00385677" w:rsidRDefault="00523C5E" w:rsidP="00D42F33">
            <w:pPr>
              <w:rPr>
                <w:b/>
                <w:bCs/>
                <w:color w:val="3B3B98"/>
              </w:rPr>
            </w:pPr>
            <w:r w:rsidRPr="00385677">
              <w:rPr>
                <w:b/>
                <w:bCs/>
                <w:color w:val="3B3B98"/>
              </w:rPr>
              <w:t>Responsável</w:t>
            </w:r>
          </w:p>
        </w:tc>
        <w:tc>
          <w:tcPr>
            <w:tcW w:w="1470" w:type="dxa"/>
          </w:tcPr>
          <w:p w14:paraId="072AC835" w14:textId="1CF89DBA" w:rsidR="002B4DAC" w:rsidRPr="00385677" w:rsidRDefault="00523C5E" w:rsidP="00D42F33">
            <w:pPr>
              <w:rPr>
                <w:b/>
                <w:bCs/>
                <w:color w:val="3B3B98"/>
              </w:rPr>
            </w:pPr>
            <w:r w:rsidRPr="00385677">
              <w:rPr>
                <w:b/>
                <w:bCs/>
                <w:color w:val="3B3B98"/>
              </w:rPr>
              <w:t>Cargo</w:t>
            </w:r>
          </w:p>
        </w:tc>
        <w:tc>
          <w:tcPr>
            <w:tcW w:w="2930" w:type="dxa"/>
          </w:tcPr>
          <w:p w14:paraId="0F4F3BCD" w14:textId="2A95D274" w:rsidR="002B4DAC" w:rsidRPr="00385677" w:rsidRDefault="00523C5E" w:rsidP="00D42F33">
            <w:pPr>
              <w:rPr>
                <w:b/>
                <w:bCs/>
                <w:color w:val="3B3B98"/>
              </w:rPr>
            </w:pPr>
            <w:r w:rsidRPr="00385677">
              <w:rPr>
                <w:b/>
                <w:bCs/>
                <w:color w:val="3B3B98"/>
              </w:rPr>
              <w:t>E-mail</w:t>
            </w:r>
          </w:p>
        </w:tc>
        <w:tc>
          <w:tcPr>
            <w:tcW w:w="1744" w:type="dxa"/>
          </w:tcPr>
          <w:p w14:paraId="6DB5D0D5" w14:textId="5958ECEA" w:rsidR="002B4DAC" w:rsidRPr="00385677" w:rsidRDefault="00523C5E" w:rsidP="00D42F33">
            <w:pPr>
              <w:rPr>
                <w:b/>
                <w:bCs/>
                <w:color w:val="3B3B98"/>
              </w:rPr>
            </w:pPr>
            <w:r w:rsidRPr="00385677">
              <w:rPr>
                <w:b/>
                <w:bCs/>
                <w:color w:val="3B3B98"/>
              </w:rPr>
              <w:t>Telefone</w:t>
            </w:r>
          </w:p>
        </w:tc>
      </w:tr>
      <w:tr w:rsidR="00376E7A" w:rsidRPr="00385677" w14:paraId="2AB5ACC6" w14:textId="77777777" w:rsidTr="00376E7A">
        <w:tc>
          <w:tcPr>
            <w:tcW w:w="2350" w:type="dxa"/>
          </w:tcPr>
          <w:p w14:paraId="2F6E0581" w14:textId="2D4385DC" w:rsidR="00376E7A" w:rsidRPr="00385677" w:rsidRDefault="00376E7A" w:rsidP="00376E7A">
            <w:pPr>
              <w:rPr>
                <w:color w:val="404040" w:themeColor="text1" w:themeTint="BF"/>
              </w:rPr>
            </w:pPr>
            <w:r w:rsidRPr="00CA41A8">
              <w:rPr>
                <w:color w:val="404040" w:themeColor="text1" w:themeTint="BF"/>
              </w:rPr>
              <w:t>Bruno Fernandes Onias</w:t>
            </w:r>
          </w:p>
        </w:tc>
        <w:tc>
          <w:tcPr>
            <w:tcW w:w="1470" w:type="dxa"/>
          </w:tcPr>
          <w:p w14:paraId="2AD5EEEC" w14:textId="12730877" w:rsidR="00376E7A" w:rsidRPr="00385677" w:rsidRDefault="00376E7A" w:rsidP="00376E7A">
            <w:pPr>
              <w:rPr>
                <w:b/>
                <w:bCs/>
                <w:color w:val="404040" w:themeColor="text1" w:themeTint="BF"/>
              </w:rPr>
            </w:pPr>
            <w:r w:rsidRPr="00F8431C">
              <w:rPr>
                <w:color w:val="404040" w:themeColor="text1" w:themeTint="BF"/>
              </w:rPr>
              <w:t>Advogado</w:t>
            </w:r>
          </w:p>
        </w:tc>
        <w:tc>
          <w:tcPr>
            <w:tcW w:w="2930" w:type="dxa"/>
          </w:tcPr>
          <w:p w14:paraId="6C3B8B07" w14:textId="665D97B2" w:rsidR="00376E7A" w:rsidRPr="00376E7A" w:rsidRDefault="00376E7A" w:rsidP="00376E7A">
            <w:pPr>
              <w:rPr>
                <w:color w:val="404040" w:themeColor="text1" w:themeTint="BF"/>
              </w:rPr>
            </w:pPr>
            <w:r w:rsidRPr="00376E7A">
              <w:rPr>
                <w:color w:val="404040" w:themeColor="text1" w:themeTint="BF"/>
              </w:rPr>
              <w:t>controles@xpasset.com.br</w:t>
            </w:r>
          </w:p>
        </w:tc>
        <w:tc>
          <w:tcPr>
            <w:tcW w:w="1744" w:type="dxa"/>
          </w:tcPr>
          <w:p w14:paraId="43518DB2" w14:textId="5DD91209" w:rsidR="00376E7A" w:rsidRPr="00376E7A" w:rsidRDefault="00376E7A" w:rsidP="00376E7A">
            <w:pPr>
              <w:rPr>
                <w:color w:val="404040" w:themeColor="text1" w:themeTint="BF"/>
              </w:rPr>
            </w:pPr>
            <w:r w:rsidRPr="00376E7A">
              <w:rPr>
                <w:color w:val="404040" w:themeColor="text1" w:themeTint="BF"/>
              </w:rPr>
              <w:t>11 4871-4358</w:t>
            </w:r>
          </w:p>
        </w:tc>
      </w:tr>
      <w:tr w:rsidR="002B4DAC" w:rsidRPr="00385677" w14:paraId="1711A4D3" w14:textId="77777777" w:rsidTr="00376E7A">
        <w:tc>
          <w:tcPr>
            <w:tcW w:w="2350" w:type="dxa"/>
          </w:tcPr>
          <w:p w14:paraId="16B1E9DF" w14:textId="77777777" w:rsidR="002B4DAC" w:rsidRPr="00385677" w:rsidRDefault="002B4DAC" w:rsidP="00D42F33">
            <w:pPr>
              <w:rPr>
                <w:b/>
                <w:bCs/>
                <w:color w:val="404040" w:themeColor="text1" w:themeTint="BF"/>
              </w:rPr>
            </w:pPr>
          </w:p>
        </w:tc>
        <w:tc>
          <w:tcPr>
            <w:tcW w:w="1470" w:type="dxa"/>
          </w:tcPr>
          <w:p w14:paraId="4265BD7E" w14:textId="77777777" w:rsidR="002B4DAC" w:rsidRPr="00385677" w:rsidRDefault="002B4DAC" w:rsidP="00D42F33">
            <w:pPr>
              <w:rPr>
                <w:b/>
                <w:bCs/>
                <w:color w:val="404040" w:themeColor="text1" w:themeTint="BF"/>
              </w:rPr>
            </w:pPr>
          </w:p>
        </w:tc>
        <w:tc>
          <w:tcPr>
            <w:tcW w:w="2930" w:type="dxa"/>
          </w:tcPr>
          <w:p w14:paraId="54236E6D" w14:textId="77777777" w:rsidR="002B4DAC" w:rsidRPr="00385677" w:rsidRDefault="002B4DAC" w:rsidP="00D42F33">
            <w:pPr>
              <w:rPr>
                <w:b/>
                <w:bCs/>
                <w:color w:val="404040" w:themeColor="text1" w:themeTint="BF"/>
              </w:rPr>
            </w:pPr>
          </w:p>
        </w:tc>
        <w:tc>
          <w:tcPr>
            <w:tcW w:w="1744" w:type="dxa"/>
          </w:tcPr>
          <w:p w14:paraId="6E503BC3" w14:textId="77777777" w:rsidR="002B4DAC" w:rsidRPr="00385677" w:rsidRDefault="002B4DAC" w:rsidP="00D42F33">
            <w:pPr>
              <w:rPr>
                <w:b/>
                <w:bCs/>
                <w:color w:val="404040" w:themeColor="text1" w:themeTint="BF"/>
              </w:rPr>
            </w:pP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77777777" w:rsidR="003A48B1" w:rsidRPr="00385677" w:rsidRDefault="003A48B1" w:rsidP="003A48B1">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34527510" w:rsidR="003A48B1" w:rsidRPr="00385677" w:rsidRDefault="0007302F"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34D1C20B"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3837CA">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37CA" w:rsidRPr="00385677" w14:paraId="5D8DC4A7" w14:textId="77777777" w:rsidTr="003A48B1">
        <w:trPr>
          <w:trHeight w:val="1268"/>
        </w:trPr>
        <w:tc>
          <w:tcPr>
            <w:tcW w:w="7366" w:type="dxa"/>
            <w:vAlign w:val="center"/>
          </w:tcPr>
          <w:p w14:paraId="511D3084" w14:textId="747CA21D" w:rsidR="003837CA" w:rsidRPr="00385677" w:rsidRDefault="003837CA"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67DB27AB" w14:textId="563CF30D" w:rsidR="003837CA" w:rsidRPr="00385677" w:rsidRDefault="0007302F"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lastRenderedPageBreak/>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170D9F">
        <w:tc>
          <w:tcPr>
            <w:tcW w:w="8499" w:type="dxa"/>
            <w:shd w:val="clear" w:color="auto" w:fill="3B3B98"/>
          </w:tcPr>
          <w:p w14:paraId="240FB69A" w14:textId="7DD30C52" w:rsidR="000B24D3" w:rsidRPr="00B50007" w:rsidRDefault="003B303C" w:rsidP="00170D9F">
            <w:pPr>
              <w:rPr>
                <w:b/>
                <w:bCs/>
              </w:rPr>
            </w:pPr>
            <w:r w:rsidRPr="003B303C">
              <w:rPr>
                <w:b/>
                <w:bCs/>
                <w:color w:val="FFFFFF" w:themeColor="background1"/>
              </w:rPr>
              <w:t>DAS CLASSES DE FUNDOS DE INVESTIMENTOS EM QUE A INSTITUIÇÃO ESTÁ SENDO CREDENCIADA:</w:t>
            </w:r>
          </w:p>
        </w:tc>
      </w:tr>
    </w:tbl>
    <w:p w14:paraId="678845AA" w14:textId="04F68852" w:rsidR="009516A5" w:rsidRDefault="00944F63" w:rsidP="009516A5">
      <w:pPr>
        <w:jc w:val="both"/>
        <w:rPr>
          <w:color w:val="404040" w:themeColor="text1" w:themeTint="BF"/>
        </w:rPr>
      </w:pPr>
      <w:r w:rsidRPr="00944F63">
        <w:rPr>
          <w:color w:val="404040" w:themeColor="text1" w:themeTint="BF"/>
        </w:rPr>
        <w:t>A XP Investimentos está sendo credenciada para a distribuição e intermediação de fundos de investimento em diversas classes, incluindo Renda Fixa, Multimercados, Ações, Cambiais e Estruturados (FIDC, FIP, FII). Essa diversidade garante aos Regimes Próprios de Previdência Social (RPPS) acesso a uma ampla prateleira de produtos, permitindo adequação às políticas de investimento em conformidade com os limites estabelecidos pela Resolução CMN nº 4.963/2021.</w:t>
      </w:r>
    </w:p>
    <w:tbl>
      <w:tblPr>
        <w:tblStyle w:val="Tabelacomgrade"/>
        <w:tblW w:w="0" w:type="auto"/>
        <w:tblInd w:w="-5" w:type="dxa"/>
        <w:tblLook w:val="04A0" w:firstRow="1" w:lastRow="0" w:firstColumn="1" w:lastColumn="0" w:noHBand="0" w:noVBand="1"/>
      </w:tblPr>
      <w:tblGrid>
        <w:gridCol w:w="8499"/>
      </w:tblGrid>
      <w:tr w:rsidR="00E61DA3" w:rsidRPr="006E6BAD" w14:paraId="5E98DB4B" w14:textId="77777777" w:rsidTr="00F21608">
        <w:tc>
          <w:tcPr>
            <w:tcW w:w="8499" w:type="dxa"/>
            <w:shd w:val="clear" w:color="auto" w:fill="3B3B98"/>
          </w:tcPr>
          <w:p w14:paraId="44788526" w14:textId="77777777" w:rsidR="00E61DA3" w:rsidRPr="00B50007" w:rsidRDefault="00E61DA3" w:rsidP="00F21608">
            <w:pPr>
              <w:rPr>
                <w:b/>
                <w:bCs/>
              </w:rPr>
            </w:pPr>
            <w:r w:rsidRPr="0047448C">
              <w:rPr>
                <w:b/>
                <w:bCs/>
                <w:color w:val="FFFFFF" w:themeColor="background1"/>
              </w:rPr>
              <w:t>FUNDOS ADMINISTRADOS/GERIDOS PELA INSTITUIÇÃO PARA FUTURA DECISÃO DE INVESTIMENTOS:</w:t>
            </w:r>
          </w:p>
        </w:tc>
      </w:tr>
    </w:tbl>
    <w:p w14:paraId="4445CA8E" w14:textId="18396329" w:rsidR="00E61DA3" w:rsidRDefault="00AD16B1" w:rsidP="0085754A">
      <w:pPr>
        <w:rPr>
          <w:color w:val="404040" w:themeColor="text1" w:themeTint="BF"/>
        </w:rPr>
      </w:pPr>
      <w:r>
        <w:rPr>
          <w:color w:val="404040" w:themeColor="text1" w:themeTint="BF"/>
        </w:rPr>
        <w:t>Conforme o ANEXO I.</w:t>
      </w:r>
    </w:p>
    <w:p w14:paraId="786D06F8" w14:textId="2C35618E"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0E57A95A" w14:textId="31A9EC39" w:rsidR="006C7DC3" w:rsidRPr="006C7DC3" w:rsidRDefault="006C7DC3" w:rsidP="00B97DDE">
      <w:pPr>
        <w:jc w:val="both"/>
        <w:rPr>
          <w:color w:val="404040" w:themeColor="text1" w:themeTint="BF"/>
        </w:rPr>
      </w:pPr>
      <w:r w:rsidRPr="006C7DC3">
        <w:rPr>
          <w:color w:val="404040" w:themeColor="text1" w:themeTint="BF"/>
        </w:rPr>
        <w:t>XP Investimentos é autorizada pelo Banco Central do Brasil para atuar como corretora de câmbio, títulos e valores mobiliários, e está devidamente registrada na Comissão de Valores Mobiliários (CVM) para intermediação e distribuição de produtos de investimento.</w:t>
      </w:r>
    </w:p>
    <w:p w14:paraId="73100568" w14:textId="379272A6" w:rsidR="00CC6B6D" w:rsidRDefault="006C7DC3" w:rsidP="00B97DDE">
      <w:pPr>
        <w:jc w:val="both"/>
        <w:rPr>
          <w:color w:val="404040" w:themeColor="text1" w:themeTint="BF"/>
        </w:rPr>
      </w:pPr>
      <w:r w:rsidRPr="006C7DC3">
        <w:rPr>
          <w:color w:val="404040" w:themeColor="text1" w:themeTint="BF"/>
        </w:rPr>
        <w:t>A instituição também é signatária dos códigos de autorregulação da ANBIMA, garantindo que suas operações de distribuição e relacionamento com investidores sigam padrões elevados de transparência e governança.</w:t>
      </w:r>
    </w:p>
    <w:p w14:paraId="2FF1988F" w14:textId="32FE0F81" w:rsidR="00CC6B6D" w:rsidRPr="00FD11EF" w:rsidRDefault="00B97DDE" w:rsidP="009516A5">
      <w:pPr>
        <w:jc w:val="both"/>
        <w:rPr>
          <w:color w:val="404040" w:themeColor="text1" w:themeTint="BF"/>
        </w:rPr>
      </w:pPr>
      <w:r w:rsidRPr="00B97DDE">
        <w:rPr>
          <w:color w:val="404040" w:themeColor="text1" w:themeTint="BF"/>
        </w:rPr>
        <w:t xml:space="preserve">ATOS DECLARATÓRIOS CVM </w:t>
      </w:r>
      <w:r>
        <w:rPr>
          <w:color w:val="404040" w:themeColor="text1" w:themeTint="BF"/>
        </w:rPr>
        <w:t xml:space="preserve">18.247 </w:t>
      </w:r>
      <w:r w:rsidRPr="00B97DDE">
        <w:rPr>
          <w:color w:val="404040" w:themeColor="text1" w:themeTint="BF"/>
        </w:rPr>
        <w:t>DE 19 DE NOVEMBRO DE 2020</w:t>
      </w: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170D9F">
            <w:pPr>
              <w:rPr>
                <w:b/>
                <w:bCs/>
                <w:color w:val="3B3B98"/>
              </w:rPr>
            </w:pPr>
            <w:r w:rsidRPr="00385677">
              <w:rPr>
                <w:b/>
                <w:bCs/>
                <w:color w:val="3B3B98"/>
              </w:rPr>
              <w:t xml:space="preserve">SOBRE ELEVADO PADRÃO ÉTICO: </w:t>
            </w:r>
          </w:p>
        </w:tc>
      </w:tr>
    </w:tbl>
    <w:p w14:paraId="4D182931" w14:textId="09DFE48F" w:rsidR="003804EF" w:rsidRDefault="00905FAA" w:rsidP="00905FAA">
      <w:pPr>
        <w:jc w:val="both"/>
        <w:rPr>
          <w:color w:val="404040" w:themeColor="text1" w:themeTint="BF"/>
        </w:rPr>
      </w:pPr>
      <w:r w:rsidRPr="00905FAA">
        <w:rPr>
          <w:color w:val="404040" w:themeColor="text1" w:themeTint="BF"/>
        </w:rPr>
        <w:t xml:space="preserve">A XP Allocation presta apenas o serviço de gestão de recursos de terceiros, mas por fazer parte do Grupo XP, utiliza as seguintes ferramentas para evitar o estabelecimento de conflitos: Gerenciamento centralizado de conflitos: os conflitos são analisados pela estrutura de Compliance através de abordagem independente, livres de influências comerciais das áreas de negócios; Barreiras de informação: robustos controles lógicos, físicos e de conduta foram implementados para controlar fluxo de informações confidenciais e privilegiadas para evitar situações de conflito de interesse; Manual de Compliance, Código de Ética e Políticas: contamos com robustos manuais, código de ética e política que foram elaborados para auxiliar os colaboradores da gestora nas suas tomadas de decisão e no modo de conduzir seus negócios dentro dela. Ademais, a área de </w:t>
      </w:r>
      <w:r w:rsidRPr="00905FAA">
        <w:rPr>
          <w:color w:val="404040" w:themeColor="text1" w:themeTint="BF"/>
        </w:rPr>
        <w:lastRenderedPageBreak/>
        <w:t>Compliance monitora o conteúdo dos e-mails enviados e recebidos pelos colaboradores para evitar o possível vazamento de informações confidenciais.</w:t>
      </w:r>
    </w:p>
    <w:p w14:paraId="339E75E4" w14:textId="77777777" w:rsidR="00675C8B" w:rsidRPr="00385677" w:rsidRDefault="00675C8B" w:rsidP="00EF0037">
      <w:pPr>
        <w:rPr>
          <w:b/>
          <w:bCs/>
          <w:color w:val="3B3B98"/>
        </w:rPr>
      </w:pP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170D9F">
            <w:pPr>
              <w:rPr>
                <w:b/>
                <w:bCs/>
                <w:color w:val="3B3B98"/>
              </w:rPr>
            </w:pPr>
            <w:r w:rsidRPr="00385677">
              <w:rPr>
                <w:b/>
                <w:bCs/>
                <w:color w:val="3B3B98"/>
              </w:rPr>
              <w:t>SOBRE AUSÊNCIA DE RESTRIÇÕES:</w:t>
            </w:r>
          </w:p>
        </w:tc>
      </w:tr>
    </w:tbl>
    <w:p w14:paraId="672955CC" w14:textId="1EDF9869" w:rsidR="003804EF" w:rsidRDefault="0056363F" w:rsidP="0056363F">
      <w:pPr>
        <w:jc w:val="both"/>
        <w:rPr>
          <w:color w:val="404040" w:themeColor="text1" w:themeTint="BF"/>
        </w:rPr>
      </w:pPr>
      <w:r w:rsidRPr="0056363F">
        <w:rPr>
          <w:color w:val="404040" w:themeColor="text1" w:themeTint="BF"/>
        </w:rPr>
        <w:t>Não há registros de restrições regulatórias, administrativas ou legais contra a XP Investimentos que impeçam seu credenciamento. A instituição cumpre integralmente as normas da CVM, Banco Central e ANBIMA.</w:t>
      </w:r>
    </w:p>
    <w:p w14:paraId="418D3CDD" w14:textId="77777777" w:rsidR="00675C8B" w:rsidRPr="00B50007" w:rsidRDefault="00675C8B"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5C96A775" w14:textId="77777777" w:rsidR="009D5515" w:rsidRPr="00302100" w:rsidRDefault="009D5515" w:rsidP="009D5515">
      <w:pPr>
        <w:jc w:val="both"/>
        <w:rPr>
          <w:color w:val="404040" w:themeColor="text1" w:themeTint="BF"/>
        </w:rPr>
      </w:pPr>
      <w:r w:rsidRPr="00302100">
        <w:rPr>
          <w:color w:val="404040" w:themeColor="text1" w:themeTint="BF"/>
        </w:rPr>
        <w:t>Fundada em 2001, a XP Investimentos tornou-se uma das maiores corretoras de valores do Brasil, pioneira na democratização do acesso a investimentos por meio de plataformas digitais. Sua trajetória é marcada pelo crescimento acelerado, inovação tecnológica e expansão da base de clientes.</w:t>
      </w:r>
    </w:p>
    <w:p w14:paraId="1AA3221A" w14:textId="77777777" w:rsidR="009D5515" w:rsidRPr="00302100" w:rsidRDefault="009D5515" w:rsidP="009D5515">
      <w:pPr>
        <w:jc w:val="both"/>
        <w:rPr>
          <w:color w:val="404040" w:themeColor="text1" w:themeTint="BF"/>
        </w:rPr>
      </w:pPr>
      <w:r w:rsidRPr="00302100">
        <w:rPr>
          <w:color w:val="404040" w:themeColor="text1" w:themeTint="BF"/>
        </w:rPr>
        <w:t>A XP Inc., controladora indireta, está listada na Nasdaq (EUA), reforçando sua governança internacional e transparência junto ao mercado global. Essa posição de destaque confere credibilidade adicional à operação no Brasil.</w:t>
      </w:r>
    </w:p>
    <w:p w14:paraId="6BD108FD" w14:textId="02E8A25E" w:rsidR="00675C8B" w:rsidRDefault="009D5515" w:rsidP="009D5515">
      <w:pPr>
        <w:jc w:val="both"/>
        <w:rPr>
          <w:color w:val="404040" w:themeColor="text1" w:themeTint="BF"/>
        </w:rPr>
      </w:pPr>
      <w:r w:rsidRPr="002E7192">
        <w:rPr>
          <w:color w:val="404040" w:themeColor="text1" w:themeTint="BF"/>
        </w:rPr>
        <w:t>A análise demonstra que, ao longo de duas décadas, a XP Investimentos consolidou-se como referência no mercado financeiro brasileiro, com trajetória marcada por crescimento e diversificação de serviços. Fundada em 2001 por Guilherme Benchimol e Marcelo Maisonnave, inicialmente como uma sociedade de agentes autônomos voltada a pequenos investidores, a instituição expandiu de forma significativa sua atuação. Atualmente, figura como a maior corretora independente do país, com mais de R$ 925 bilhões sob custódia. Sua atuação abrange a intermediação de operações de títulos e valores mobiliários, a estruturação e gestão de fundos de investimento, a oferta de produtos estruturados, de renda fixa, securitários e previdenciários, além da disponibilização de conteúdos e cursos voltados à educação financeira, consolidando um modelo de negócios diversificado e orientado ao atendimento de diferentes perfis de investidores.</w:t>
      </w:r>
    </w:p>
    <w:p w14:paraId="559AAFEB" w14:textId="77777777" w:rsidR="009D5515" w:rsidRPr="009D5515" w:rsidRDefault="009D5515" w:rsidP="009D5515">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03D6A748" w14:textId="77777777" w:rsidR="00072E15" w:rsidRPr="00072E15" w:rsidRDefault="00072E15" w:rsidP="00072E15">
      <w:pPr>
        <w:jc w:val="both"/>
        <w:rPr>
          <w:color w:val="404040" w:themeColor="text1" w:themeTint="BF"/>
        </w:rPr>
      </w:pPr>
      <w:r w:rsidRPr="00072E15">
        <w:rPr>
          <w:color w:val="404040" w:themeColor="text1" w:themeTint="BF"/>
        </w:rPr>
        <w:t>A XP Investimentos possui mais de duas décadas de experiência no mercado, superando amplamente o requisito mínimo de cinco anos de atuação exigido pela Portaria MTP nº 1.467/2022.</w:t>
      </w:r>
    </w:p>
    <w:p w14:paraId="5CDC257C" w14:textId="77777777" w:rsidR="00072E15" w:rsidRPr="00072E15" w:rsidRDefault="00072E15" w:rsidP="00072E15">
      <w:pPr>
        <w:jc w:val="both"/>
        <w:rPr>
          <w:color w:val="404040" w:themeColor="text1" w:themeTint="BF"/>
        </w:rPr>
      </w:pPr>
      <w:r w:rsidRPr="00072E15">
        <w:rPr>
          <w:color w:val="404040" w:themeColor="text1" w:themeTint="BF"/>
        </w:rPr>
        <w:t>Durante esse período, a instituição expandiu sua atuação de forma consistente e sustentável, consolidando sua marca como uma das líderes em intermediação e distribuição de valores mobiliários no país.</w:t>
      </w:r>
    </w:p>
    <w:p w14:paraId="256E3C87" w14:textId="77777777" w:rsidR="00675C8B" w:rsidRDefault="00675C8B" w:rsidP="00CE1A54">
      <w:pPr>
        <w:rPr>
          <w:color w:val="3B3B98"/>
        </w:rPr>
      </w:pP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170D9F">
        <w:tc>
          <w:tcPr>
            <w:tcW w:w="8499" w:type="dxa"/>
            <w:shd w:val="clear" w:color="auto" w:fill="3B3B98"/>
          </w:tcPr>
          <w:p w14:paraId="2E3BFD1A" w14:textId="77777777" w:rsidR="003D15B4" w:rsidRPr="00B50007" w:rsidRDefault="003D15B4" w:rsidP="00170D9F">
            <w:pPr>
              <w:rPr>
                <w:b/>
                <w:bCs/>
              </w:rPr>
            </w:pPr>
            <w:r>
              <w:rPr>
                <w:b/>
                <w:bCs/>
                <w:color w:val="FFFFFF" w:themeColor="background1"/>
              </w:rPr>
              <w:t>PRINCIPAIS CATEGORIAS DE PRODUTOS OFERTADOS</w:t>
            </w:r>
          </w:p>
        </w:tc>
      </w:tr>
    </w:tbl>
    <w:p w14:paraId="7CACC249" w14:textId="0B69F0CE" w:rsidR="00306B97" w:rsidRPr="00306B97" w:rsidRDefault="00306B97" w:rsidP="00306B97">
      <w:pPr>
        <w:jc w:val="both"/>
        <w:rPr>
          <w:color w:val="404040" w:themeColor="text1" w:themeTint="BF"/>
        </w:rPr>
      </w:pPr>
      <w:r w:rsidRPr="00306B97">
        <w:rPr>
          <w:color w:val="404040" w:themeColor="text1" w:themeTint="BF"/>
        </w:rPr>
        <w:t xml:space="preserve">A XP distribui fundos de investimento que se enquadram nas principais categorias admitidas para RPPS pela Resolução CMN nº 4.963/2021, incluindo Fundos de Renda Fixa com predominância em títulos públicos federais, Fundos Referenciados DI, Fundos de </w:t>
      </w:r>
      <w:r w:rsidRPr="00306B97">
        <w:rPr>
          <w:color w:val="404040" w:themeColor="text1" w:themeTint="BF"/>
        </w:rPr>
        <w:lastRenderedPageBreak/>
        <w:t>Crédito Privado com ratings elevados e Fundos Multimercados de baixa a média volatilidade.</w:t>
      </w:r>
    </w:p>
    <w:p w14:paraId="3C1FE25E" w14:textId="0AA66A93" w:rsidR="003D15B4" w:rsidRDefault="00306B97" w:rsidP="00306B97">
      <w:pPr>
        <w:jc w:val="both"/>
        <w:rPr>
          <w:color w:val="404040" w:themeColor="text1" w:themeTint="BF"/>
        </w:rPr>
      </w:pPr>
      <w:r w:rsidRPr="00306B97">
        <w:rPr>
          <w:color w:val="404040" w:themeColor="text1" w:themeTint="BF"/>
        </w:rPr>
        <w:t>Também disponibiliza acesso a fundos estruturados e alternativos, sempre observando a regulamentação vigente e os limites impostos aos RPPS, garantindo conformidade regulatória e prudência na seleção de ativos.</w:t>
      </w:r>
    </w:p>
    <w:p w14:paraId="2783A50D" w14:textId="77777777" w:rsidR="00675C8B" w:rsidRPr="00385677" w:rsidRDefault="00675C8B" w:rsidP="00CE1A54">
      <w:pPr>
        <w:rPr>
          <w:color w:val="3B3B98"/>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170D9F">
            <w:pPr>
              <w:rPr>
                <w:b/>
                <w:bCs/>
                <w:color w:val="3B3B98"/>
              </w:rPr>
            </w:pPr>
            <w:r w:rsidRPr="00385677">
              <w:rPr>
                <w:b/>
                <w:bCs/>
                <w:color w:val="3B3B98"/>
              </w:rPr>
              <w:t>SOBRE VOLUME DE RECURSOS:</w:t>
            </w:r>
          </w:p>
        </w:tc>
      </w:tr>
    </w:tbl>
    <w:p w14:paraId="2F8B6802" w14:textId="4A4ED7F3" w:rsidR="00675C8B" w:rsidRPr="00385677" w:rsidRDefault="00DE3BB3" w:rsidP="009C4E38">
      <w:pPr>
        <w:jc w:val="both"/>
        <w:rPr>
          <w:color w:val="404040" w:themeColor="text1" w:themeTint="BF"/>
        </w:rPr>
      </w:pPr>
      <w:r>
        <w:rPr>
          <w:color w:val="404040" w:themeColor="text1" w:themeTint="BF"/>
        </w:rPr>
        <w:t>C</w:t>
      </w:r>
      <w:r w:rsidR="008D1133">
        <w:rPr>
          <w:color w:val="404040" w:themeColor="text1" w:themeTint="BF"/>
        </w:rPr>
        <w:t xml:space="preserve">onforme consta no ranking da ANBIMA de Gestores, o patrimônio sob gestão da XP ASSET em julho/2025 é </w:t>
      </w:r>
      <w:r w:rsidR="00AD6586">
        <w:rPr>
          <w:color w:val="404040" w:themeColor="text1" w:themeTint="BF"/>
        </w:rPr>
        <w:t xml:space="preserve">de </w:t>
      </w:r>
      <w:r w:rsidR="00AD6586" w:rsidRPr="00AD6586">
        <w:rPr>
          <w:color w:val="404040" w:themeColor="text1" w:themeTint="BF"/>
        </w:rPr>
        <w:t>R</w:t>
      </w:r>
      <w:r w:rsidR="00AD6586">
        <w:rPr>
          <w:color w:val="404040" w:themeColor="text1" w:themeTint="BF"/>
        </w:rPr>
        <w:t xml:space="preserve">$ </w:t>
      </w:r>
      <w:r w:rsidR="00AD6586" w:rsidRPr="00AD6586">
        <w:rPr>
          <w:color w:val="404040" w:themeColor="text1" w:themeTint="BF"/>
        </w:rPr>
        <w:t>221.763,43</w:t>
      </w:r>
      <w:r w:rsidR="00AD6586">
        <w:rPr>
          <w:color w:val="404040" w:themeColor="text1" w:themeTint="BF"/>
        </w:rPr>
        <w:t xml:space="preserve"> bilhões.</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170D9F">
            <w:pPr>
              <w:rPr>
                <w:b/>
                <w:bCs/>
                <w:color w:val="404040" w:themeColor="text1" w:themeTint="BF"/>
              </w:rPr>
            </w:pPr>
            <w:r w:rsidRPr="00385677">
              <w:rPr>
                <w:b/>
                <w:bCs/>
                <w:color w:val="3B3B98"/>
              </w:rPr>
              <w:t xml:space="preserve">SOBRE QUALIFICAÇÃO DO CORPO TÉCNICO: </w:t>
            </w:r>
          </w:p>
        </w:tc>
      </w:tr>
    </w:tbl>
    <w:p w14:paraId="2FB59E69" w14:textId="77777777" w:rsidR="003D0D19" w:rsidRDefault="003D0D19" w:rsidP="00C54188">
      <w:pPr>
        <w:rPr>
          <w:color w:val="404040" w:themeColor="text1" w:themeTint="BF"/>
        </w:rPr>
      </w:pPr>
      <w:r w:rsidRPr="003D0D19">
        <w:rPr>
          <w:color w:val="404040" w:themeColor="text1" w:themeTint="BF"/>
        </w:rPr>
        <w:t xml:space="preserve">Abaixo apresentamos o organograma da XP Asset, grupo de gestoras da qual a XP Allocation é parte, sendo responsável pela estratégia de Fundos Indexados e Internacionais, bem como, Alocação em Alternativos (Selection Alternativos). </w:t>
      </w:r>
    </w:p>
    <w:p w14:paraId="1F39CC7F" w14:textId="6A0D731D" w:rsidR="003D0D19" w:rsidRDefault="00CE5A27" w:rsidP="00C54188">
      <w:pPr>
        <w:rPr>
          <w:color w:val="404040" w:themeColor="text1" w:themeTint="BF"/>
        </w:rPr>
      </w:pPr>
      <w:r w:rsidRPr="00CE5A27">
        <w:rPr>
          <w:color w:val="404040" w:themeColor="text1" w:themeTint="BF"/>
        </w:rPr>
        <w:drawing>
          <wp:inline distT="0" distB="0" distL="0" distR="0" wp14:anchorId="21061E04" wp14:editId="27FD4A75">
            <wp:extent cx="5400040" cy="3048000"/>
            <wp:effectExtent l="0" t="0" r="0" b="0"/>
            <wp:docPr id="1171067160"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067160" name="Imagem 1" descr="Tabela&#10;&#10;O conteúdo gerado por IA pode estar incorreto."/>
                    <pic:cNvPicPr/>
                  </pic:nvPicPr>
                  <pic:blipFill>
                    <a:blip r:embed="rId8"/>
                    <a:stretch>
                      <a:fillRect/>
                    </a:stretch>
                  </pic:blipFill>
                  <pic:spPr>
                    <a:xfrm>
                      <a:off x="0" y="0"/>
                      <a:ext cx="5400040" cy="3048000"/>
                    </a:xfrm>
                    <a:prstGeom prst="rect">
                      <a:avLst/>
                    </a:prstGeom>
                  </pic:spPr>
                </pic:pic>
              </a:graphicData>
            </a:graphic>
          </wp:inline>
        </w:drawing>
      </w:r>
    </w:p>
    <w:p w14:paraId="7893A5FE" w14:textId="77777777" w:rsidR="009C4E38" w:rsidRDefault="003D0D19" w:rsidP="009C4E38">
      <w:pPr>
        <w:jc w:val="both"/>
        <w:rPr>
          <w:color w:val="404040" w:themeColor="text1" w:themeTint="BF"/>
        </w:rPr>
      </w:pPr>
      <w:r w:rsidRPr="003D0D19">
        <w:rPr>
          <w:color w:val="404040" w:themeColor="text1" w:themeTint="BF"/>
        </w:rPr>
        <w:t xml:space="preserve">Adicionalmente, apresentamos um breve resumo do CEO da XP Asset e Diretores de Gestão de Recursos, Riscos e Compliance da Gestora, bem como outros gestores certificados: </w:t>
      </w:r>
    </w:p>
    <w:p w14:paraId="0013748E" w14:textId="056B1866" w:rsidR="009C4E38" w:rsidRDefault="003D0D19" w:rsidP="009C4E38">
      <w:pPr>
        <w:jc w:val="both"/>
        <w:rPr>
          <w:color w:val="404040" w:themeColor="text1" w:themeTint="BF"/>
        </w:rPr>
      </w:pPr>
      <w:r w:rsidRPr="003D0D19">
        <w:rPr>
          <w:color w:val="404040" w:themeColor="text1" w:themeTint="BF"/>
        </w:rPr>
        <w:t xml:space="preserve">Bruno Castro: é o CEO da XP Asset. Formado em Economia pela UnB, tem mestrado em finanças pelo Insper, certificação CGA e conta com 19 anos de experiência no mercado financeiro, tendo trabalhado por mais de 12 anos no Itaú, além de IPEA, Banco Alfa e Mauá Capital. </w:t>
      </w:r>
    </w:p>
    <w:p w14:paraId="236EE079" w14:textId="77777777" w:rsidR="00C062F0" w:rsidRDefault="003D0D19" w:rsidP="009C4E38">
      <w:pPr>
        <w:jc w:val="both"/>
        <w:rPr>
          <w:color w:val="404040" w:themeColor="text1" w:themeTint="BF"/>
        </w:rPr>
      </w:pPr>
      <w:r w:rsidRPr="003D0D19">
        <w:rPr>
          <w:color w:val="404040" w:themeColor="text1" w:themeTint="BF"/>
        </w:rPr>
        <w:t xml:space="preserve">Danilo de Souza Gabriel: Gestor da XP Asset responsável pelos fundos Indexados e mandatos internacionais, iniciou sua carreira no Middle Office da RB Capital Asset Management em set/2013. Em dez/2014, migrou para o Banco BBM onde fez parte do BackOffice. Em set/2017 passou a integrar o time de gestão da XP Allocation, e atualmente </w:t>
      </w:r>
      <w:r w:rsidRPr="003D0D19">
        <w:rPr>
          <w:color w:val="404040" w:themeColor="text1" w:themeTint="BF"/>
        </w:rPr>
        <w:lastRenderedPageBreak/>
        <w:t xml:space="preserve">responde pela Diretoria de Gestão de Recursos da gestora. É formado em Engenharia Mecânica de Automóvel pelo IME e possuí a certificação CFA e CGA. </w:t>
      </w:r>
    </w:p>
    <w:p w14:paraId="55C2B199" w14:textId="77777777" w:rsidR="00E86708" w:rsidRDefault="003D0D19" w:rsidP="009C4E38">
      <w:pPr>
        <w:jc w:val="both"/>
        <w:rPr>
          <w:color w:val="404040" w:themeColor="text1" w:themeTint="BF"/>
        </w:rPr>
      </w:pPr>
      <w:r w:rsidRPr="003D0D19">
        <w:rPr>
          <w:color w:val="404040" w:themeColor="text1" w:themeTint="BF"/>
        </w:rPr>
        <w:t>João Aragon: João Aragon é o COO e Diretor de Riscos da XP Asset. Anteriormente, foi sócio fundador e COO da Navi Capital. Tendo iniciado sua carreira na RiskControl (2007-2009), na época uma empresa do Grupo BBM, passou pelas áreas de desenvolvimento e suporte. Entre 2009 e 2012, foi analista de risco e operações na Pollux Capital e entre 2012 e 2016 foi o sócio responsável pela área de operações e risco da Tese Investimentos. João é formado em engenharia</w:t>
      </w:r>
      <w:r w:rsidR="00E22AF2">
        <w:rPr>
          <w:color w:val="404040" w:themeColor="text1" w:themeTint="BF"/>
        </w:rPr>
        <w:t xml:space="preserve"> </w:t>
      </w:r>
      <w:r w:rsidR="00E22AF2" w:rsidRPr="00E22AF2">
        <w:rPr>
          <w:color w:val="404040" w:themeColor="text1" w:themeTint="BF"/>
        </w:rPr>
        <w:t xml:space="preserve">elétrica na PUC-RIO, possui mestrado em Finanças pela FGV, certificação de Financial Risk Manager e formação de executivo pelo MIT. </w:t>
      </w:r>
    </w:p>
    <w:p w14:paraId="418B7540" w14:textId="629DAB54" w:rsidR="009C4E38" w:rsidRDefault="00E22AF2" w:rsidP="009C4E38">
      <w:pPr>
        <w:jc w:val="both"/>
        <w:rPr>
          <w:color w:val="404040" w:themeColor="text1" w:themeTint="BF"/>
        </w:rPr>
      </w:pPr>
      <w:r w:rsidRPr="00E22AF2">
        <w:rPr>
          <w:color w:val="404040" w:themeColor="text1" w:themeTint="BF"/>
        </w:rPr>
        <w:t xml:space="preserve">Fabrício Cunha de Almeida é membro do conselho de administração, diretor de Compliance da XP Allocation e diretor jurídico da XP Inc desde novembro de 2019. O Sr. Almeida ingressou no grupo XP em 2011. Antes de ingressar na companhia, foi advogado na Barbosa, Müssnich &amp; Aragão de 2005 a 2011. Sr. Almeida é bacharel em direito pela Universidade Cândido Mendes do Rio de Janeiro e pós-graduado em direito societário e mercado de capitais pela FGV. </w:t>
      </w:r>
    </w:p>
    <w:p w14:paraId="7DDD4B08" w14:textId="4DBF5E24" w:rsidR="003804EF" w:rsidRDefault="00E22AF2" w:rsidP="009C4E38">
      <w:pPr>
        <w:jc w:val="both"/>
        <w:rPr>
          <w:color w:val="404040" w:themeColor="text1" w:themeTint="BF"/>
        </w:rPr>
      </w:pPr>
      <w:r w:rsidRPr="00E22AF2">
        <w:rPr>
          <w:color w:val="404040" w:themeColor="text1" w:themeTint="BF"/>
        </w:rPr>
        <w:t>Jorge Lange: Na XP desde novembro de 2020, possui mais de 16 anos de experiência no mercado financeiro, focados em Private Equity e Venture Capital. Jorge ocupou posições de senioridade na Victoria Capital Partners, LGT Lightstone, Graycliff Partners e Partners Group. É formado em Economia pela USP, com parte da graduação realizada em Harvard e Boston Universities e possui MBA pela London Business School.</w:t>
      </w:r>
    </w:p>
    <w:p w14:paraId="1202834A" w14:textId="77777777" w:rsidR="00B663BF" w:rsidRPr="00B663BF" w:rsidRDefault="00B663BF" w:rsidP="00B663BF">
      <w:pPr>
        <w:jc w:val="both"/>
        <w:rPr>
          <w:color w:val="404040" w:themeColor="text1" w:themeTint="BF"/>
        </w:rPr>
      </w:pPr>
      <w:r w:rsidRPr="00B663BF">
        <w:rPr>
          <w:color w:val="404040" w:themeColor="text1" w:themeTint="BF"/>
        </w:rPr>
        <w:t>O corpo técnico da XP é altamente qualificado, composto por profissionais com certificações reconhecidas pela ANBIMA (CGA, CEA, CPA-20) e CVM, além de experiência consolidada em gestão de riscos, compliance, produtos de investimento e relacionamento institucional.</w:t>
      </w:r>
    </w:p>
    <w:p w14:paraId="05737272" w14:textId="77777777" w:rsidR="00B663BF" w:rsidRPr="00B663BF" w:rsidRDefault="00B663BF" w:rsidP="00B663BF">
      <w:pPr>
        <w:jc w:val="both"/>
        <w:rPr>
          <w:color w:val="404040" w:themeColor="text1" w:themeTint="BF"/>
        </w:rPr>
      </w:pPr>
      <w:r w:rsidRPr="00B663BF">
        <w:rPr>
          <w:color w:val="404040" w:themeColor="text1" w:themeTint="BF"/>
        </w:rPr>
        <w:t>A instituição investe continuamente em capacitação e atualização profissional, garantindo que seus colaboradores estejam alinhados às melhores práticas nacionais e internacionais.</w:t>
      </w:r>
    </w:p>
    <w:p w14:paraId="38FA3A9C" w14:textId="77777777" w:rsidR="00B663BF" w:rsidRPr="00B663BF" w:rsidRDefault="00B663BF" w:rsidP="00B663BF">
      <w:pPr>
        <w:jc w:val="both"/>
        <w:rPr>
          <w:color w:val="404040" w:themeColor="text1" w:themeTint="BF"/>
        </w:rPr>
      </w:pPr>
      <w:r w:rsidRPr="00B663BF">
        <w:rPr>
          <w:color w:val="404040" w:themeColor="text1" w:themeTint="BF"/>
        </w:rPr>
        <w:t>O DDQ XP Allocation detalha a atuação da equipe dedicada à seleção e monitoramento de fundos, que utiliza metodologia estruturada, baseada em critérios quantitativos e qualitativos, assegurando a adequação dos produtos distribuídos aos perfis dos clientes institucionais.</w:t>
      </w:r>
    </w:p>
    <w:p w14:paraId="62B915F6" w14:textId="77777777" w:rsidR="00675C8B" w:rsidRPr="00385677" w:rsidRDefault="00675C8B" w:rsidP="00C54188">
      <w:pPr>
        <w:rPr>
          <w:b/>
          <w:bCs/>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170D9F">
            <w:pPr>
              <w:rPr>
                <w:b/>
                <w:bCs/>
                <w:color w:val="404040" w:themeColor="text1" w:themeTint="BF"/>
              </w:rPr>
            </w:pPr>
            <w:r w:rsidRPr="00385677">
              <w:rPr>
                <w:b/>
                <w:bCs/>
                <w:color w:val="3B3B98"/>
              </w:rPr>
              <w:t>SOBRE SEGREGAÇÃO DE ATIVIDADES:</w:t>
            </w:r>
          </w:p>
        </w:tc>
      </w:tr>
    </w:tbl>
    <w:p w14:paraId="526DA494" w14:textId="455F0B22" w:rsidR="00B663BF" w:rsidRPr="00B663BF" w:rsidRDefault="00B663BF" w:rsidP="00B663BF">
      <w:pPr>
        <w:jc w:val="both"/>
        <w:rPr>
          <w:color w:val="404040" w:themeColor="text1" w:themeTint="BF"/>
        </w:rPr>
      </w:pPr>
      <w:r w:rsidRPr="00B663BF">
        <w:rPr>
          <w:color w:val="404040" w:themeColor="text1" w:themeTint="BF"/>
        </w:rPr>
        <w:t>A XP adota segregação clara e formal entre as áreas de distribuição, compliance, auditoria, risco e operações, garantindo independência e mitigação de potenciais conflitos de interesse.</w:t>
      </w:r>
    </w:p>
    <w:p w14:paraId="6268780D" w14:textId="534FAC9D" w:rsidR="00BA026F" w:rsidRDefault="00B663BF" w:rsidP="00917552">
      <w:pPr>
        <w:jc w:val="both"/>
        <w:rPr>
          <w:color w:val="404040" w:themeColor="text1" w:themeTint="BF"/>
        </w:rPr>
      </w:pPr>
      <w:r w:rsidRPr="00B663BF">
        <w:rPr>
          <w:color w:val="404040" w:themeColor="text1" w:themeTint="BF"/>
        </w:rPr>
        <w:t>Esse modelo de governança permite que as atividades sejam desempenhadas de forma autônoma e transparente, reforçando a confiança dos investidores institucionais na condução dos processos.</w:t>
      </w:r>
    </w:p>
    <w:p w14:paraId="0F35CC4A" w14:textId="77777777" w:rsidR="00917552" w:rsidRDefault="00917552" w:rsidP="00917552">
      <w:pPr>
        <w:jc w:val="both"/>
        <w:rPr>
          <w:color w:val="404040" w:themeColor="text1" w:themeTint="BF"/>
        </w:rPr>
      </w:pPr>
      <w:r w:rsidRPr="00917552">
        <w:rPr>
          <w:color w:val="404040" w:themeColor="text1" w:themeTint="BF"/>
        </w:rPr>
        <w:t xml:space="preserve">A XP Vista presta apenas serviços de gestão discricionária de fundos de investimentos. Todos os demais serviços são contratados do Grupo XP Inc., tais como o suporte das áreas de RH, Finanças, TI, Jurídico, Compliance e BackOffice. O serviço de distribuição de </w:t>
      </w:r>
      <w:r w:rsidRPr="00917552">
        <w:rPr>
          <w:color w:val="404040" w:themeColor="text1" w:themeTint="BF"/>
        </w:rPr>
        <w:lastRenderedPageBreak/>
        <w:t xml:space="preserve">fundos, em regra, é realizado pela XP Investimentos, que também presta serviços de administração fiduciária, seja para XP Asset, como para gestores independentes não relacionados. Para controlar o uso e acesso a informações privilegiadas, o Grupo XP Inc. aplica o conceito de Chinese Wall, que consiste em separar as informações de colaboradores envolvidos principalmente em atividades de vendas, negociação e pesquisa (o “lado público”), daqueles envolvidos em atividades de investimentos, gerenciamento de relacionamentos e clientes (o “lado privado”). Esta barreira de informações é mantida pelo Compliance que tem acesso a informações de ambos os lados e se incumbe de manter a integridade da barreira, supervisionando as várias atividades da empresa e de seus colaboradores. </w:t>
      </w:r>
    </w:p>
    <w:p w14:paraId="0FE72EC7" w14:textId="14D6CAFB" w:rsidR="00675C8B" w:rsidRDefault="00917552" w:rsidP="00917552">
      <w:pPr>
        <w:jc w:val="both"/>
        <w:rPr>
          <w:color w:val="404040" w:themeColor="text1" w:themeTint="BF"/>
        </w:rPr>
      </w:pPr>
      <w:r w:rsidRPr="00917552">
        <w:rPr>
          <w:color w:val="404040" w:themeColor="text1" w:themeTint="BF"/>
        </w:rPr>
        <w:t>A XP Allocation se encontra em ambiente físico segregado com controle de acesso específico ou seja, apenas funcionários podem circular no ambiente e ter acessos tecnológicos a redes ou sistemas próprios da gestora. O Grupo XP Inc. evidencia o monitoramento por meio de relatórios de circulação dos colaboradores, controles de identificação facial de acesso dentro dos escritórios e mapeamento eletrônico de sistemas e pastas. Destacamos que todos os colaboradores assinam termo de confidencialidade em que se obrigam a manter sigilo total de todas as informações a que tenham ou venham a ter acesso em razão do desempenho de suas atividades. Ainda, na rede da XP Inc. o acesso a e-mails pessoais, assim como redes sociais, é bloqueado, além de ser proibida a utilização de telefones celulares, smartphones, tablets e notebooks pessoais nas mesas de operações. Por fim, há monitoramento contínuo de todos os canais de comunicação usado pelos colaboradores. Todos os casos de descumprimento de regras ou diretrizes internas são analisados pela equipe de Compliance que envolverá o Comitê de Ética do Grupo XP Inc. para aplicação das medidas punitivas correspondentes.</w:t>
      </w:r>
    </w:p>
    <w:p w14:paraId="44E50576" w14:textId="77777777" w:rsidR="00675C8B" w:rsidRPr="00385677" w:rsidRDefault="00675C8B"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BA026F" w:rsidRPr="00385677" w14:paraId="1E27EC98" w14:textId="77777777" w:rsidTr="00170D9F">
        <w:tc>
          <w:tcPr>
            <w:tcW w:w="8494" w:type="dxa"/>
          </w:tcPr>
          <w:p w14:paraId="7109C06C" w14:textId="77777777" w:rsidR="00BA026F" w:rsidRPr="00385677" w:rsidRDefault="00BA026F" w:rsidP="00170D9F">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72C6ED1A" w14:textId="5EEA6C96" w:rsidR="00675C8B" w:rsidRDefault="008B7F76" w:rsidP="008B7F76">
      <w:pPr>
        <w:jc w:val="both"/>
        <w:rPr>
          <w:color w:val="404040" w:themeColor="text1" w:themeTint="BF"/>
        </w:rPr>
      </w:pPr>
      <w:r w:rsidRPr="00A01254">
        <w:rPr>
          <w:color w:val="404040" w:themeColor="text1" w:themeTint="BF"/>
        </w:rPr>
        <w:t xml:space="preserve">A instituição </w:t>
      </w:r>
      <w:r>
        <w:rPr>
          <w:color w:val="404040" w:themeColor="text1" w:themeTint="BF"/>
        </w:rPr>
        <w:t>apresentou as certidões e verificou-se que</w:t>
      </w:r>
      <w:r w:rsidRPr="00A01254">
        <w:rPr>
          <w:color w:val="404040" w:themeColor="text1" w:themeTint="BF"/>
        </w:rPr>
        <w:t xml:space="preserve"> est</w:t>
      </w:r>
      <w:r>
        <w:rPr>
          <w:color w:val="404040" w:themeColor="text1" w:themeTint="BF"/>
        </w:rPr>
        <w:t xml:space="preserve">á </w:t>
      </w:r>
      <w:r w:rsidRPr="00A01254">
        <w:rPr>
          <w:color w:val="404040" w:themeColor="text1" w:themeTint="BF"/>
        </w:rPr>
        <w:t>em plena conformidade fiscal e previdenciária, não possuindo pendências junto à Receita Federal, INSS ou demais órgãos de controle.</w:t>
      </w:r>
    </w:p>
    <w:p w14:paraId="641D3CED" w14:textId="77777777" w:rsidR="008B7F76" w:rsidRPr="008B7F76" w:rsidRDefault="008B7F76" w:rsidP="008B7F7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08EADDBB" w14:textId="4E7764DB" w:rsidR="00675C8B" w:rsidRDefault="00E64325" w:rsidP="00E64325">
      <w:pPr>
        <w:jc w:val="both"/>
        <w:rPr>
          <w:color w:val="404040" w:themeColor="text1" w:themeTint="BF"/>
        </w:rPr>
      </w:pPr>
      <w:r w:rsidRPr="00EA3AA5">
        <w:rPr>
          <w:color w:val="404040" w:themeColor="text1" w:themeTint="BF"/>
        </w:rPr>
        <w:t>Os fundos distribuídos pela XP apresentam, nos últimos dois anos, desempenho compatível com seus respectivos benchmarks e níveis de risco declarados em regulamento, assegurando transparência e aderência às políticas de investimento.</w:t>
      </w:r>
    </w:p>
    <w:p w14:paraId="1F087955" w14:textId="77777777" w:rsidR="00E64325" w:rsidRDefault="00E64325" w:rsidP="00E64325">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170D9F">
        <w:trPr>
          <w:trHeight w:val="644"/>
        </w:trPr>
        <w:tc>
          <w:tcPr>
            <w:tcW w:w="8499" w:type="dxa"/>
            <w:shd w:val="clear" w:color="auto" w:fill="3B3B98"/>
          </w:tcPr>
          <w:p w14:paraId="4E64B41B" w14:textId="77777777" w:rsidR="000E6176" w:rsidRPr="00B50007" w:rsidRDefault="000E6176" w:rsidP="00170D9F">
            <w:pPr>
              <w:rPr>
                <w:b/>
                <w:bCs/>
              </w:rPr>
            </w:pPr>
            <w:r w:rsidRPr="001F140C">
              <w:rPr>
                <w:b/>
                <w:bCs/>
                <w:color w:val="FFFFFF" w:themeColor="background1"/>
              </w:rPr>
              <w:t>EMBASAMENTO EM FORMULÁRIOS DE DILIGÊNCIA PREVISTOS EM CÓDIGOS DE AUTORREGULAÇÃO RELATIVOS À ADMINISTRAÇÃO DE RECURSOS DE TERCEIROS</w:t>
            </w:r>
          </w:p>
        </w:tc>
      </w:tr>
    </w:tbl>
    <w:p w14:paraId="33021E13" w14:textId="2F6235D7" w:rsidR="00675C8B" w:rsidRPr="00E22AF2" w:rsidRDefault="00E22AF2" w:rsidP="00E22AF2">
      <w:pPr>
        <w:jc w:val="both"/>
        <w:rPr>
          <w:color w:val="404040" w:themeColor="text1" w:themeTint="BF"/>
        </w:rPr>
      </w:pPr>
      <w:r w:rsidRPr="00E22AF2">
        <w:rPr>
          <w:color w:val="404040" w:themeColor="text1" w:themeTint="BF"/>
        </w:rPr>
        <w:t>Conforme apresentado no QDD da instituição, é</w:t>
      </w:r>
      <w:r w:rsidRPr="00E22AF2">
        <w:rPr>
          <w:color w:val="404040" w:themeColor="text1" w:themeTint="BF"/>
        </w:rPr>
        <w:t xml:space="preserve"> signatária Código dos Processos, do Código de Administração de Recursos de Terceiros e do Código de Certificação Continuada.</w:t>
      </w:r>
    </w:p>
    <w:p w14:paraId="4409F7D5" w14:textId="77777777" w:rsidR="00675C8B" w:rsidRPr="00385677" w:rsidRDefault="00675C8B" w:rsidP="00BB44DD">
      <w:pPr>
        <w:pStyle w:val="PargrafodaLista"/>
        <w:rPr>
          <w:b/>
          <w:bCs/>
          <w:color w:val="404040" w:themeColor="text1" w:themeTint="BF"/>
        </w:rPr>
      </w:pPr>
    </w:p>
    <w:p w14:paraId="1B50EA88" w14:textId="6C787B6C"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315B75E9" w14:textId="5491CD33" w:rsidR="000E6897" w:rsidRPr="000E6897" w:rsidRDefault="000E6897" w:rsidP="000E6897">
      <w:pPr>
        <w:jc w:val="both"/>
        <w:rPr>
          <w:color w:val="404040" w:themeColor="text1" w:themeTint="BF"/>
        </w:rPr>
      </w:pPr>
      <w:r w:rsidRPr="000E6897">
        <w:rPr>
          <w:color w:val="404040" w:themeColor="text1" w:themeTint="BF"/>
        </w:rPr>
        <w:t xml:space="preserve">A </w:t>
      </w:r>
      <w:r w:rsidR="006F0A14" w:rsidRPr="006F0A14">
        <w:rPr>
          <w:color w:val="404040" w:themeColor="text1" w:themeTint="BF"/>
        </w:rPr>
        <w:t>XP Allocation Asset Management LTDA.</w:t>
      </w:r>
      <w:r w:rsidR="006F0A14">
        <w:rPr>
          <w:color w:val="404040" w:themeColor="text1" w:themeTint="BF"/>
        </w:rPr>
        <w:t xml:space="preserve"> </w:t>
      </w:r>
      <w:r w:rsidRPr="000E6897">
        <w:rPr>
          <w:color w:val="404040" w:themeColor="text1" w:themeTint="BF"/>
        </w:rPr>
        <w:t>demonstra solidez institucional, experiência consolidada, qualificação técnica e elevado padrão ético em suas operações. Sua vinculação ao grupo XP Inc., listado no exterior, reforça sua governança e credibilidade internacional.</w:t>
      </w:r>
    </w:p>
    <w:p w14:paraId="23F53565" w14:textId="17B81844" w:rsidR="000E6897" w:rsidRPr="000E6897" w:rsidRDefault="000E6897" w:rsidP="000E6897">
      <w:pPr>
        <w:jc w:val="both"/>
        <w:rPr>
          <w:color w:val="404040" w:themeColor="text1" w:themeTint="BF"/>
        </w:rPr>
      </w:pPr>
      <w:r w:rsidRPr="000E6897">
        <w:rPr>
          <w:color w:val="404040" w:themeColor="text1" w:themeTint="BF"/>
        </w:rPr>
        <w:t>Os documentos apresentados comprovam que a instituição atende a todos os requisitos da Portaria MTP nº 1.467/2022, incluindo experiência mínima, regularidade fiscal, estrutura técnica, governança e ausência de restrições regulatórias.</w:t>
      </w:r>
    </w:p>
    <w:p w14:paraId="3F077973" w14:textId="653E79F1" w:rsidR="00675C8B" w:rsidRPr="00376E7A" w:rsidRDefault="000E6897" w:rsidP="00376E7A">
      <w:pPr>
        <w:jc w:val="both"/>
        <w:rPr>
          <w:color w:val="404040" w:themeColor="text1" w:themeTint="BF"/>
        </w:rPr>
      </w:pPr>
      <w:r w:rsidRPr="000E6897">
        <w:rPr>
          <w:color w:val="404040" w:themeColor="text1" w:themeTint="BF"/>
        </w:rPr>
        <w:t>Assim, conclui-se que não há impeditivos ao credenciamento da XP Investimentos junto aos RPPS, sendo recomendada sua aprovação como instituição apta a intermediar e distribuir fundos de investimento para entes previdenciários municipais.</w:t>
      </w:r>
    </w:p>
    <w:p w14:paraId="41F0DEEF" w14:textId="77777777" w:rsidR="003C1B37" w:rsidRPr="00385677" w:rsidRDefault="003C1B37" w:rsidP="00BB44DD">
      <w:pPr>
        <w:rPr>
          <w:b/>
          <w:bCs/>
          <w:color w:val="404040" w:themeColor="text1" w:themeTint="BF"/>
        </w:rPr>
      </w:pPr>
    </w:p>
    <w:p w14:paraId="7278CB64" w14:textId="6523D7EB" w:rsidR="003C1B37" w:rsidRPr="00385677" w:rsidRDefault="003C1B37" w:rsidP="00BB44DD">
      <w:pPr>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Default="0080731D" w:rsidP="00BB44DD">
      <w:pPr>
        <w:rPr>
          <w:b/>
          <w:bCs/>
        </w:rPr>
      </w:pPr>
    </w:p>
    <w:p w14:paraId="0F320DC9" w14:textId="77777777" w:rsidR="00E73775" w:rsidRDefault="00E73775" w:rsidP="00BB44DD">
      <w:pPr>
        <w:rPr>
          <w:b/>
          <w:bCs/>
        </w:rPr>
      </w:pPr>
    </w:p>
    <w:p w14:paraId="6C2C3CDF" w14:textId="77777777" w:rsidR="00E73775" w:rsidRDefault="00E73775" w:rsidP="00BB44DD">
      <w:pPr>
        <w:rPr>
          <w:b/>
          <w:bCs/>
        </w:rPr>
      </w:pPr>
    </w:p>
    <w:p w14:paraId="389ED8F4" w14:textId="77777777" w:rsidR="00E73775" w:rsidRDefault="00E73775" w:rsidP="00BB44DD">
      <w:pPr>
        <w:rPr>
          <w:b/>
          <w:bCs/>
        </w:rPr>
      </w:pPr>
    </w:p>
    <w:p w14:paraId="33ED1B22" w14:textId="77777777" w:rsidR="00E73775" w:rsidRDefault="00E73775" w:rsidP="00BB44DD">
      <w:pPr>
        <w:rPr>
          <w:b/>
          <w:bCs/>
        </w:rPr>
      </w:pPr>
    </w:p>
    <w:p w14:paraId="0F81DECA" w14:textId="77777777" w:rsidR="00E73775" w:rsidRDefault="00E73775" w:rsidP="00BB44DD">
      <w:pPr>
        <w:rPr>
          <w:b/>
          <w:bCs/>
        </w:rPr>
      </w:pPr>
    </w:p>
    <w:p w14:paraId="0B856371" w14:textId="77777777" w:rsidR="00E73775" w:rsidRDefault="00E73775" w:rsidP="00BB44DD">
      <w:pPr>
        <w:rPr>
          <w:b/>
          <w:bCs/>
        </w:rPr>
      </w:pPr>
    </w:p>
    <w:p w14:paraId="3D21A8F5" w14:textId="77777777" w:rsidR="00E73775" w:rsidRDefault="00E73775" w:rsidP="00BB44DD">
      <w:pPr>
        <w:rPr>
          <w:b/>
          <w:bCs/>
        </w:rPr>
      </w:pPr>
    </w:p>
    <w:p w14:paraId="080927E3" w14:textId="77777777" w:rsidR="00E73775" w:rsidRDefault="00E73775" w:rsidP="00BB44DD">
      <w:pPr>
        <w:rPr>
          <w:b/>
          <w:bCs/>
        </w:rPr>
      </w:pPr>
    </w:p>
    <w:p w14:paraId="1300983A" w14:textId="77777777" w:rsidR="00E73775" w:rsidRDefault="00E73775" w:rsidP="00BB44DD">
      <w:pPr>
        <w:rPr>
          <w:b/>
          <w:bCs/>
        </w:rPr>
      </w:pPr>
    </w:p>
    <w:p w14:paraId="65039AC9" w14:textId="77777777" w:rsidR="00E73775" w:rsidRDefault="00E73775" w:rsidP="00BB44DD">
      <w:pPr>
        <w:rPr>
          <w:b/>
          <w:bCs/>
        </w:rPr>
      </w:pPr>
    </w:p>
    <w:p w14:paraId="3ABDB8F9" w14:textId="77777777" w:rsidR="00E73775" w:rsidRDefault="00E73775" w:rsidP="00BB44DD">
      <w:pPr>
        <w:rPr>
          <w:b/>
          <w:bCs/>
        </w:rPr>
      </w:pPr>
    </w:p>
    <w:p w14:paraId="6397CF18" w14:textId="77777777" w:rsidR="00E73775" w:rsidRDefault="00E73775" w:rsidP="00BB44DD">
      <w:pPr>
        <w:rPr>
          <w:b/>
          <w:bCs/>
        </w:rPr>
      </w:pPr>
    </w:p>
    <w:p w14:paraId="1A6D9535" w14:textId="0EB8D880" w:rsidR="00E73775" w:rsidRDefault="00E73775" w:rsidP="00BB44DD">
      <w:pPr>
        <w:rPr>
          <w:b/>
          <w:bCs/>
        </w:rPr>
      </w:pPr>
      <w:r>
        <w:rPr>
          <w:b/>
          <w:bCs/>
        </w:rPr>
        <w:lastRenderedPageBreak/>
        <w:t>ANEXO I</w:t>
      </w:r>
    </w:p>
    <w:tbl>
      <w:tblPr>
        <w:tblStyle w:val="Tabelacomgrade"/>
        <w:tblW w:w="0" w:type="auto"/>
        <w:tblInd w:w="-5" w:type="dxa"/>
        <w:tblLook w:val="04A0" w:firstRow="1" w:lastRow="0" w:firstColumn="1" w:lastColumn="0" w:noHBand="0" w:noVBand="1"/>
      </w:tblPr>
      <w:tblGrid>
        <w:gridCol w:w="8499"/>
      </w:tblGrid>
      <w:tr w:rsidR="00411E81" w:rsidRPr="006E6BAD" w14:paraId="04797426" w14:textId="77777777" w:rsidTr="00A810A3">
        <w:tc>
          <w:tcPr>
            <w:tcW w:w="8499" w:type="dxa"/>
            <w:shd w:val="clear" w:color="auto" w:fill="3B3B98"/>
          </w:tcPr>
          <w:p w14:paraId="1B2C1049" w14:textId="77777777" w:rsidR="00411E81" w:rsidRPr="00B50007" w:rsidRDefault="00411E81" w:rsidP="00A810A3">
            <w:pPr>
              <w:rPr>
                <w:b/>
                <w:bCs/>
              </w:rPr>
            </w:pPr>
            <w:r w:rsidRPr="0047448C">
              <w:rPr>
                <w:b/>
                <w:bCs/>
                <w:color w:val="FFFFFF" w:themeColor="background1"/>
              </w:rPr>
              <w:t>FUNDOS ADMINISTRADOS/GERIDOS PELA INSTITUIÇÃO PARA FUTURA DECISÃO DE INVESTIMENTOS:</w:t>
            </w:r>
          </w:p>
        </w:tc>
      </w:tr>
    </w:tbl>
    <w:p w14:paraId="42698F0D" w14:textId="77777777" w:rsidR="00411E81" w:rsidRDefault="00411E81" w:rsidP="00411E81">
      <w:pPr>
        <w:rPr>
          <w:b/>
          <w:bCs/>
        </w:rPr>
      </w:pPr>
    </w:p>
    <w:tbl>
      <w:tblPr>
        <w:tblStyle w:val="Tabelacomgrade"/>
        <w:tblW w:w="0" w:type="auto"/>
        <w:tblLook w:val="04A0" w:firstRow="1" w:lastRow="0" w:firstColumn="1" w:lastColumn="0" w:noHBand="0" w:noVBand="1"/>
      </w:tblPr>
      <w:tblGrid>
        <w:gridCol w:w="4247"/>
        <w:gridCol w:w="4247"/>
      </w:tblGrid>
      <w:tr w:rsidR="00411E81" w14:paraId="19C9499F" w14:textId="77777777" w:rsidTr="00E73775">
        <w:tc>
          <w:tcPr>
            <w:tcW w:w="4247" w:type="dxa"/>
          </w:tcPr>
          <w:p w14:paraId="66A1B6DE" w14:textId="77777777" w:rsidR="00411E81" w:rsidRDefault="00411E81" w:rsidP="00A810A3">
            <w:pPr>
              <w:rPr>
                <w:b/>
                <w:bCs/>
              </w:rPr>
            </w:pPr>
            <w:r>
              <w:rPr>
                <w:b/>
                <w:bCs/>
                <w:color w:val="3B3B98"/>
              </w:rPr>
              <w:t>Fundo</w:t>
            </w:r>
          </w:p>
        </w:tc>
        <w:tc>
          <w:tcPr>
            <w:tcW w:w="4247" w:type="dxa"/>
          </w:tcPr>
          <w:p w14:paraId="64F157FC" w14:textId="77777777" w:rsidR="00411E81" w:rsidRDefault="00411E81" w:rsidP="00A810A3">
            <w:pPr>
              <w:rPr>
                <w:b/>
                <w:bCs/>
              </w:rPr>
            </w:pPr>
            <w:r>
              <w:rPr>
                <w:b/>
                <w:bCs/>
                <w:color w:val="3B3B98"/>
              </w:rPr>
              <w:t>CNPJ</w:t>
            </w:r>
          </w:p>
        </w:tc>
      </w:tr>
      <w:tr w:rsidR="00E73775" w14:paraId="1F51BC2C" w14:textId="77777777" w:rsidTr="00E73775">
        <w:tc>
          <w:tcPr>
            <w:tcW w:w="4247" w:type="dxa"/>
          </w:tcPr>
          <w:p w14:paraId="5A1A21E4" w14:textId="67790A06" w:rsidR="00E73775" w:rsidRPr="0047448C" w:rsidRDefault="00E73775" w:rsidP="00A810A3">
            <w:pPr>
              <w:rPr>
                <w:color w:val="404040" w:themeColor="text1" w:themeTint="BF"/>
              </w:rPr>
            </w:pPr>
            <w:r w:rsidRPr="00E73775">
              <w:rPr>
                <w:rFonts w:ascii="Calibri" w:eastAsia="Times New Roman" w:hAnsi="Calibri" w:cs="Calibri"/>
                <w:color w:val="000000"/>
                <w:kern w:val="0"/>
                <w:sz w:val="24"/>
                <w:szCs w:val="24"/>
                <w:lang w:eastAsia="pt-BR"/>
                <w14:ligatures w14:val="none"/>
              </w:rPr>
              <w:t>AXA WF FRAMLINGTON DIGITAL ECONOMY ADVISORY FIC FIA IE</w:t>
            </w:r>
          </w:p>
        </w:tc>
        <w:tc>
          <w:tcPr>
            <w:tcW w:w="4247" w:type="dxa"/>
          </w:tcPr>
          <w:p w14:paraId="37930C75" w14:textId="29827F51" w:rsidR="00E73775" w:rsidRDefault="00E73775" w:rsidP="00A810A3">
            <w:pPr>
              <w:rPr>
                <w:b/>
                <w:bCs/>
              </w:rPr>
            </w:pPr>
            <w:r w:rsidRPr="00E73775">
              <w:rPr>
                <w:rFonts w:ascii="Calibri" w:eastAsia="Times New Roman" w:hAnsi="Calibri" w:cs="Calibri"/>
                <w:color w:val="000000"/>
                <w:kern w:val="0"/>
                <w:sz w:val="24"/>
                <w:szCs w:val="24"/>
                <w:lang w:eastAsia="pt-BR"/>
                <w14:ligatures w14:val="none"/>
              </w:rPr>
              <w:t>35.002.482/0001-01</w:t>
            </w:r>
          </w:p>
        </w:tc>
      </w:tr>
      <w:tr w:rsidR="00E73775" w:rsidRPr="00E73775" w14:paraId="73447F3D" w14:textId="77777777" w:rsidTr="00E73775">
        <w:trPr>
          <w:trHeight w:val="312"/>
        </w:trPr>
        <w:tc>
          <w:tcPr>
            <w:tcW w:w="4247" w:type="dxa"/>
            <w:noWrap/>
            <w:hideMark/>
          </w:tcPr>
          <w:p w14:paraId="511DCD6E" w14:textId="57D7EF0C"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J CHINA EQUITY DÓLAR ADVISORY INVESTIMENTO NO EXTERIOR FIC AÇÕES</w:t>
            </w:r>
          </w:p>
        </w:tc>
        <w:tc>
          <w:tcPr>
            <w:tcW w:w="4247" w:type="dxa"/>
            <w:noWrap/>
            <w:hideMark/>
          </w:tcPr>
          <w:p w14:paraId="7F5ECF52" w14:textId="53FF490E"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38.421.502/0001-69</w:t>
            </w:r>
          </w:p>
        </w:tc>
      </w:tr>
      <w:tr w:rsidR="00E73775" w:rsidRPr="00E73775" w14:paraId="56BECC68" w14:textId="77777777" w:rsidTr="00E73775">
        <w:trPr>
          <w:trHeight w:val="312"/>
        </w:trPr>
        <w:tc>
          <w:tcPr>
            <w:tcW w:w="4247" w:type="dxa"/>
            <w:noWrap/>
            <w:hideMark/>
          </w:tcPr>
          <w:p w14:paraId="25D22A24" w14:textId="0E7D2721"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J EMERGING MARKETS ADVISORY INVESTIMENTO NO EXTERIOR FI AÇÕES</w:t>
            </w:r>
          </w:p>
        </w:tc>
        <w:tc>
          <w:tcPr>
            <w:tcW w:w="4247" w:type="dxa"/>
            <w:noWrap/>
            <w:hideMark/>
          </w:tcPr>
          <w:p w14:paraId="0AA77EF9" w14:textId="705E9C84"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37.985.879/0001-88</w:t>
            </w:r>
          </w:p>
        </w:tc>
      </w:tr>
      <w:tr w:rsidR="00E73775" w:rsidRPr="00E73775" w14:paraId="267D3C1C" w14:textId="77777777" w:rsidTr="00E73775">
        <w:trPr>
          <w:trHeight w:val="312"/>
        </w:trPr>
        <w:tc>
          <w:tcPr>
            <w:tcW w:w="4247" w:type="dxa"/>
            <w:noWrap/>
            <w:hideMark/>
          </w:tcPr>
          <w:p w14:paraId="70B4833A" w14:textId="4B92EF1B"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J ESG EMERGING MARKETS DÓLAR ADVISORY INVESTIMENTO NO EXTERIOR FIC AÇÕES</w:t>
            </w:r>
          </w:p>
        </w:tc>
        <w:tc>
          <w:tcPr>
            <w:tcW w:w="4247" w:type="dxa"/>
            <w:noWrap/>
            <w:hideMark/>
          </w:tcPr>
          <w:p w14:paraId="581B32EB" w14:textId="135F9242"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38.077.340/0001-93</w:t>
            </w:r>
          </w:p>
        </w:tc>
      </w:tr>
      <w:tr w:rsidR="00E73775" w:rsidRPr="00E73775" w14:paraId="69F75616" w14:textId="77777777" w:rsidTr="00E73775">
        <w:trPr>
          <w:trHeight w:val="312"/>
        </w:trPr>
        <w:tc>
          <w:tcPr>
            <w:tcW w:w="4247" w:type="dxa"/>
            <w:noWrap/>
            <w:hideMark/>
          </w:tcPr>
          <w:p w14:paraId="2D77D6BD" w14:textId="7EC779DD"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JPM PACIFIC EQUITY CLASSE DE INV EM ACOES IE - RESP LIMITADA</w:t>
            </w:r>
          </w:p>
        </w:tc>
        <w:tc>
          <w:tcPr>
            <w:tcW w:w="4247" w:type="dxa"/>
            <w:noWrap/>
            <w:hideMark/>
          </w:tcPr>
          <w:p w14:paraId="6975DEF5" w14:textId="667314BF"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55.129.384/0001-39</w:t>
            </w:r>
          </w:p>
        </w:tc>
      </w:tr>
      <w:tr w:rsidR="00E73775" w:rsidRPr="00E73775" w14:paraId="3E30B25F" w14:textId="77777777" w:rsidTr="00E73775">
        <w:trPr>
          <w:trHeight w:val="312"/>
        </w:trPr>
        <w:tc>
          <w:tcPr>
            <w:tcW w:w="4247" w:type="dxa"/>
            <w:noWrap/>
            <w:hideMark/>
          </w:tcPr>
          <w:p w14:paraId="50AE7836" w14:textId="749CBBD5"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MS GLOBAL OPPORTUNITIES DÓLAR ADVISORY FIC FIA IE</w:t>
            </w:r>
          </w:p>
        </w:tc>
        <w:tc>
          <w:tcPr>
            <w:tcW w:w="4247" w:type="dxa"/>
            <w:noWrap/>
            <w:hideMark/>
          </w:tcPr>
          <w:p w14:paraId="504690E0" w14:textId="6E29C6AC"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33.913.562/0001-85</w:t>
            </w:r>
          </w:p>
        </w:tc>
      </w:tr>
      <w:tr w:rsidR="00E73775" w:rsidRPr="00E73775" w14:paraId="7C8BE3D2" w14:textId="77777777" w:rsidTr="00E73775">
        <w:trPr>
          <w:trHeight w:val="312"/>
        </w:trPr>
        <w:tc>
          <w:tcPr>
            <w:tcW w:w="4247" w:type="dxa"/>
            <w:noWrap/>
            <w:hideMark/>
          </w:tcPr>
          <w:p w14:paraId="6D37CDE9" w14:textId="45D2E158"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TREND CASH FIC FIRF SIMPLES</w:t>
            </w:r>
          </w:p>
        </w:tc>
        <w:tc>
          <w:tcPr>
            <w:tcW w:w="4247" w:type="dxa"/>
            <w:noWrap/>
            <w:hideMark/>
          </w:tcPr>
          <w:p w14:paraId="10E356F6" w14:textId="3014827D"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45.823.918/0001-79</w:t>
            </w:r>
          </w:p>
        </w:tc>
      </w:tr>
      <w:tr w:rsidR="00E73775" w:rsidRPr="00E73775" w14:paraId="36067E56" w14:textId="77777777" w:rsidTr="00E73775">
        <w:trPr>
          <w:trHeight w:val="312"/>
        </w:trPr>
        <w:tc>
          <w:tcPr>
            <w:tcW w:w="4247" w:type="dxa"/>
            <w:noWrap/>
            <w:hideMark/>
          </w:tcPr>
          <w:p w14:paraId="1DAFE1EF" w14:textId="05631737"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TREND PÓS-FIXADO FIC FI RF SIMPLES</w:t>
            </w:r>
          </w:p>
        </w:tc>
        <w:tc>
          <w:tcPr>
            <w:tcW w:w="4247" w:type="dxa"/>
            <w:noWrap/>
            <w:hideMark/>
          </w:tcPr>
          <w:p w14:paraId="7F7B3E00" w14:textId="174B2D12"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26.559.284/0001-44</w:t>
            </w:r>
          </w:p>
        </w:tc>
      </w:tr>
      <w:tr w:rsidR="00E73775" w:rsidRPr="00E73775" w14:paraId="0C42691C" w14:textId="77777777" w:rsidTr="00E73775">
        <w:trPr>
          <w:trHeight w:val="312"/>
        </w:trPr>
        <w:tc>
          <w:tcPr>
            <w:tcW w:w="4247" w:type="dxa"/>
            <w:noWrap/>
            <w:hideMark/>
          </w:tcPr>
          <w:p w14:paraId="3229784B" w14:textId="160BAE00"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XP BANCOS FIC DE FUNDOS DE INVESTIMENTO RENDA FIXA REFERENCIADO DI CRÉDITO PRIVADO</w:t>
            </w:r>
          </w:p>
        </w:tc>
        <w:tc>
          <w:tcPr>
            <w:tcW w:w="4247" w:type="dxa"/>
            <w:noWrap/>
            <w:hideMark/>
          </w:tcPr>
          <w:p w14:paraId="7BF8A0EC" w14:textId="114066E2"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50.088.190/0001-19</w:t>
            </w:r>
          </w:p>
        </w:tc>
      </w:tr>
      <w:tr w:rsidR="00E73775" w:rsidRPr="00E73775" w14:paraId="6C1482CF" w14:textId="77777777" w:rsidTr="00E73775">
        <w:trPr>
          <w:trHeight w:val="312"/>
        </w:trPr>
        <w:tc>
          <w:tcPr>
            <w:tcW w:w="4247" w:type="dxa"/>
            <w:noWrap/>
            <w:hideMark/>
          </w:tcPr>
          <w:p w14:paraId="6AC715E2" w14:textId="188DFE9E"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XP DIVIDENDOS FI AÇÕES</w:t>
            </w:r>
          </w:p>
        </w:tc>
        <w:tc>
          <w:tcPr>
            <w:tcW w:w="4247" w:type="dxa"/>
            <w:noWrap/>
            <w:hideMark/>
          </w:tcPr>
          <w:p w14:paraId="729F8093" w14:textId="7D00A186"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16.575.255/0001-12</w:t>
            </w:r>
          </w:p>
        </w:tc>
      </w:tr>
      <w:tr w:rsidR="00E73775" w:rsidRPr="00E73775" w14:paraId="207B366A" w14:textId="77777777" w:rsidTr="00E73775">
        <w:trPr>
          <w:trHeight w:val="312"/>
        </w:trPr>
        <w:tc>
          <w:tcPr>
            <w:tcW w:w="4247" w:type="dxa"/>
            <w:noWrap/>
            <w:hideMark/>
          </w:tcPr>
          <w:p w14:paraId="69EB1F54" w14:textId="1B161662"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XP INFLAÇÃO FI RF LP</w:t>
            </w:r>
          </w:p>
        </w:tc>
        <w:tc>
          <w:tcPr>
            <w:tcW w:w="4247" w:type="dxa"/>
            <w:noWrap/>
            <w:hideMark/>
          </w:tcPr>
          <w:p w14:paraId="7C1DDB83" w14:textId="05E1B90C"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14.146.491/0001-98</w:t>
            </w:r>
          </w:p>
        </w:tc>
      </w:tr>
      <w:tr w:rsidR="00E73775" w:rsidRPr="00E73775" w14:paraId="45ED1A8E" w14:textId="77777777" w:rsidTr="00E73775">
        <w:trPr>
          <w:trHeight w:val="312"/>
        </w:trPr>
        <w:tc>
          <w:tcPr>
            <w:tcW w:w="4247" w:type="dxa"/>
            <w:noWrap/>
            <w:hideMark/>
          </w:tcPr>
          <w:p w14:paraId="31E343DF" w14:textId="6167E3EC"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XP INVESTOR 30 FIC AÇÕES</w:t>
            </w:r>
          </w:p>
        </w:tc>
        <w:tc>
          <w:tcPr>
            <w:tcW w:w="4247" w:type="dxa"/>
            <w:noWrap/>
            <w:hideMark/>
          </w:tcPr>
          <w:p w14:paraId="76AF80CC" w14:textId="2E7A6942"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26.718.169/0001-75</w:t>
            </w:r>
          </w:p>
        </w:tc>
      </w:tr>
      <w:tr w:rsidR="00E73775" w:rsidRPr="00E73775" w14:paraId="1B1DF75C" w14:textId="77777777" w:rsidTr="00E73775">
        <w:trPr>
          <w:trHeight w:val="312"/>
        </w:trPr>
        <w:tc>
          <w:tcPr>
            <w:tcW w:w="4247" w:type="dxa"/>
            <w:noWrap/>
            <w:hideMark/>
          </w:tcPr>
          <w:p w14:paraId="34208A96" w14:textId="0241959A"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XP INVESTOR DIVIDENDOS 30 FIC AÇÕES</w:t>
            </w:r>
          </w:p>
        </w:tc>
        <w:tc>
          <w:tcPr>
            <w:tcW w:w="4247" w:type="dxa"/>
            <w:noWrap/>
            <w:hideMark/>
          </w:tcPr>
          <w:p w14:paraId="5F715D87" w14:textId="1F4849E4"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26.773.140/0001-96</w:t>
            </w:r>
          </w:p>
        </w:tc>
      </w:tr>
      <w:tr w:rsidR="00E73775" w:rsidRPr="00E73775" w14:paraId="0DBBA5F5" w14:textId="77777777" w:rsidTr="00E73775">
        <w:trPr>
          <w:trHeight w:val="312"/>
        </w:trPr>
        <w:tc>
          <w:tcPr>
            <w:tcW w:w="4247" w:type="dxa"/>
            <w:noWrap/>
            <w:hideMark/>
          </w:tcPr>
          <w:p w14:paraId="67A74CCD" w14:textId="549CBA4D"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XP INVESTOR FI AÇÕES</w:t>
            </w:r>
          </w:p>
        </w:tc>
        <w:tc>
          <w:tcPr>
            <w:tcW w:w="4247" w:type="dxa"/>
            <w:noWrap/>
            <w:hideMark/>
          </w:tcPr>
          <w:p w14:paraId="183A4026" w14:textId="7C75FA18"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07.152.170/0001-30</w:t>
            </w:r>
          </w:p>
        </w:tc>
      </w:tr>
      <w:tr w:rsidR="00E73775" w:rsidRPr="00E73775" w14:paraId="6BFE87FB" w14:textId="77777777" w:rsidTr="00E73775">
        <w:trPr>
          <w:trHeight w:val="312"/>
        </w:trPr>
        <w:tc>
          <w:tcPr>
            <w:tcW w:w="4247" w:type="dxa"/>
            <w:noWrap/>
            <w:hideMark/>
          </w:tcPr>
          <w:p w14:paraId="72DA6BA9" w14:textId="3C658F3A"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XP INVESTOR SMALL CAPS FI AÇÕES</w:t>
            </w:r>
          </w:p>
        </w:tc>
        <w:tc>
          <w:tcPr>
            <w:tcW w:w="4247" w:type="dxa"/>
            <w:noWrap/>
            <w:hideMark/>
          </w:tcPr>
          <w:p w14:paraId="4061336C" w14:textId="3B1A0D77"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09.528.355/0001-22</w:t>
            </w:r>
          </w:p>
        </w:tc>
      </w:tr>
      <w:tr w:rsidR="00E73775" w:rsidRPr="00E73775" w14:paraId="1231CDD1" w14:textId="77777777" w:rsidTr="00E73775">
        <w:trPr>
          <w:trHeight w:val="312"/>
        </w:trPr>
        <w:tc>
          <w:tcPr>
            <w:tcW w:w="4247" w:type="dxa"/>
            <w:noWrap/>
            <w:hideMark/>
          </w:tcPr>
          <w:p w14:paraId="1EB3888B" w14:textId="57D4FC60"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XP MACRO INSTITUCIONAL FIC FI MULTIMERCADO</w:t>
            </w:r>
          </w:p>
        </w:tc>
        <w:tc>
          <w:tcPr>
            <w:tcW w:w="4247" w:type="dxa"/>
            <w:noWrap/>
            <w:hideMark/>
          </w:tcPr>
          <w:p w14:paraId="688A06BF" w14:textId="39A20A7A" w:rsidR="00E73775" w:rsidRPr="00E73775" w:rsidRDefault="00E73775" w:rsidP="00E73775">
            <w:pPr>
              <w:rPr>
                <w:rFonts w:ascii="Calibri" w:eastAsia="Times New Roman" w:hAnsi="Calibri" w:cs="Calibri"/>
                <w:color w:val="000000"/>
                <w:kern w:val="0"/>
                <w:sz w:val="24"/>
                <w:szCs w:val="24"/>
                <w:lang w:eastAsia="pt-BR"/>
                <w14:ligatures w14:val="none"/>
              </w:rPr>
            </w:pPr>
            <w:r w:rsidRPr="00E73775">
              <w:rPr>
                <w:rFonts w:ascii="Calibri" w:eastAsia="Times New Roman" w:hAnsi="Calibri" w:cs="Calibri"/>
                <w:color w:val="000000"/>
                <w:kern w:val="0"/>
                <w:sz w:val="24"/>
                <w:szCs w:val="24"/>
                <w:lang w:eastAsia="pt-BR"/>
                <w14:ligatures w14:val="none"/>
              </w:rPr>
              <w:t>26.549.933/0001-26</w:t>
            </w:r>
          </w:p>
        </w:tc>
      </w:tr>
    </w:tbl>
    <w:p w14:paraId="47EFA4FA" w14:textId="77777777" w:rsidR="00411E81" w:rsidRDefault="00411E81" w:rsidP="00411E81">
      <w:pPr>
        <w:rPr>
          <w:b/>
          <w:bCs/>
        </w:rPr>
      </w:pPr>
    </w:p>
    <w:p w14:paraId="4B5F1EC4" w14:textId="77777777" w:rsidR="00411E81" w:rsidRPr="00BB44DD" w:rsidRDefault="00411E81" w:rsidP="00BB44DD">
      <w:pPr>
        <w:rPr>
          <w:b/>
          <w:bCs/>
        </w:rPr>
      </w:pPr>
    </w:p>
    <w:sectPr w:rsidR="00411E81"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478E8"/>
    <w:rsid w:val="00072E15"/>
    <w:rsid w:val="0007302F"/>
    <w:rsid w:val="00074CF2"/>
    <w:rsid w:val="000B24D3"/>
    <w:rsid w:val="000C2B8B"/>
    <w:rsid w:val="000E6176"/>
    <w:rsid w:val="000E6897"/>
    <w:rsid w:val="000F4A3B"/>
    <w:rsid w:val="00155D8D"/>
    <w:rsid w:val="00162B8E"/>
    <w:rsid w:val="00170D9F"/>
    <w:rsid w:val="001A07C0"/>
    <w:rsid w:val="001A1310"/>
    <w:rsid w:val="001B1A7D"/>
    <w:rsid w:val="00237256"/>
    <w:rsid w:val="002A5E0C"/>
    <w:rsid w:val="002B4DAC"/>
    <w:rsid w:val="002F2C11"/>
    <w:rsid w:val="00306B97"/>
    <w:rsid w:val="00341BEC"/>
    <w:rsid w:val="003527AD"/>
    <w:rsid w:val="003529DC"/>
    <w:rsid w:val="00357412"/>
    <w:rsid w:val="00374AF8"/>
    <w:rsid w:val="00376E7A"/>
    <w:rsid w:val="003804EF"/>
    <w:rsid w:val="003837CA"/>
    <w:rsid w:val="00385677"/>
    <w:rsid w:val="003A48B1"/>
    <w:rsid w:val="003B303C"/>
    <w:rsid w:val="003B6B9D"/>
    <w:rsid w:val="003C02D6"/>
    <w:rsid w:val="003C1B37"/>
    <w:rsid w:val="003D0D19"/>
    <w:rsid w:val="003D15B4"/>
    <w:rsid w:val="00411E81"/>
    <w:rsid w:val="0047448C"/>
    <w:rsid w:val="004E3710"/>
    <w:rsid w:val="004E5418"/>
    <w:rsid w:val="00515181"/>
    <w:rsid w:val="00523C5E"/>
    <w:rsid w:val="0056363F"/>
    <w:rsid w:val="00566B27"/>
    <w:rsid w:val="005C792E"/>
    <w:rsid w:val="005E01D5"/>
    <w:rsid w:val="005E1713"/>
    <w:rsid w:val="00675C8B"/>
    <w:rsid w:val="00693C84"/>
    <w:rsid w:val="006A19E0"/>
    <w:rsid w:val="006C7DC3"/>
    <w:rsid w:val="006E6BAD"/>
    <w:rsid w:val="006E7882"/>
    <w:rsid w:val="006F0A14"/>
    <w:rsid w:val="00713A19"/>
    <w:rsid w:val="00722B97"/>
    <w:rsid w:val="00736C36"/>
    <w:rsid w:val="00765243"/>
    <w:rsid w:val="00794F74"/>
    <w:rsid w:val="007A12A0"/>
    <w:rsid w:val="007D584C"/>
    <w:rsid w:val="0080731D"/>
    <w:rsid w:val="0082059B"/>
    <w:rsid w:val="008316CE"/>
    <w:rsid w:val="0085754A"/>
    <w:rsid w:val="008664DE"/>
    <w:rsid w:val="00895EB2"/>
    <w:rsid w:val="008B7F76"/>
    <w:rsid w:val="008D1133"/>
    <w:rsid w:val="00905FAA"/>
    <w:rsid w:val="00917552"/>
    <w:rsid w:val="00944F63"/>
    <w:rsid w:val="00945D83"/>
    <w:rsid w:val="009516A5"/>
    <w:rsid w:val="00973893"/>
    <w:rsid w:val="009C4E38"/>
    <w:rsid w:val="009D5515"/>
    <w:rsid w:val="009E1692"/>
    <w:rsid w:val="009F6455"/>
    <w:rsid w:val="00A641C5"/>
    <w:rsid w:val="00AA0BB3"/>
    <w:rsid w:val="00AD16B1"/>
    <w:rsid w:val="00AD6586"/>
    <w:rsid w:val="00B0309F"/>
    <w:rsid w:val="00B34D64"/>
    <w:rsid w:val="00B50007"/>
    <w:rsid w:val="00B663BF"/>
    <w:rsid w:val="00B80EAB"/>
    <w:rsid w:val="00B97DDE"/>
    <w:rsid w:val="00BA026F"/>
    <w:rsid w:val="00BB44DD"/>
    <w:rsid w:val="00C062F0"/>
    <w:rsid w:val="00C54188"/>
    <w:rsid w:val="00CC6B6D"/>
    <w:rsid w:val="00CE0FD1"/>
    <w:rsid w:val="00CE1A54"/>
    <w:rsid w:val="00CE5A27"/>
    <w:rsid w:val="00D04FB0"/>
    <w:rsid w:val="00D171AE"/>
    <w:rsid w:val="00D2305E"/>
    <w:rsid w:val="00D42F33"/>
    <w:rsid w:val="00D62DC8"/>
    <w:rsid w:val="00D95107"/>
    <w:rsid w:val="00DE3BB3"/>
    <w:rsid w:val="00E22AF2"/>
    <w:rsid w:val="00E250B1"/>
    <w:rsid w:val="00E34495"/>
    <w:rsid w:val="00E60EAF"/>
    <w:rsid w:val="00E61DA3"/>
    <w:rsid w:val="00E64325"/>
    <w:rsid w:val="00E73775"/>
    <w:rsid w:val="00E86708"/>
    <w:rsid w:val="00EA41D6"/>
    <w:rsid w:val="00EA7BDC"/>
    <w:rsid w:val="00ED5712"/>
    <w:rsid w:val="00EF0037"/>
    <w:rsid w:val="00F11446"/>
    <w:rsid w:val="00F40BF7"/>
    <w:rsid w:val="00FD11EF"/>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F564BEF1-8721-4BD2-B77D-0C0F8B61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032A78465D21943B20E6B7E93116FD5" ma:contentTypeVersion="18" ma:contentTypeDescription="Crie um novo documento." ma:contentTypeScope="" ma:versionID="1c60d0b4c2de4f8e23b1e0feb6450c5a">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bb4bf2deba5303fde076e99b1441275"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2.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3.xml><?xml version="1.0" encoding="utf-8"?>
<ds:datastoreItem xmlns:ds="http://schemas.openxmlformats.org/officeDocument/2006/customXml" ds:itemID="{B4F9D563-EABD-4ED7-8544-0F719A544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8</Pages>
  <Words>2537</Words>
  <Characters>13701</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95</cp:revision>
  <dcterms:created xsi:type="dcterms:W3CDTF">2024-09-04T17:09:00Z</dcterms:created>
  <dcterms:modified xsi:type="dcterms:W3CDTF">2025-08-21T15:01:00Z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